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D3" w:rsidRDefault="009069D3" w:rsidP="00E20251">
      <w:pPr>
        <w:widowControl/>
        <w:autoSpaceDE w:val="0"/>
        <w:autoSpaceDN w:val="0"/>
        <w:adjustRightInd w:val="0"/>
        <w:jc w:val="both"/>
        <w:rPr>
          <w:rFonts w:ascii="Times-Roman" w:hAnsi="Times-Roman" w:cs="Times-Roman"/>
          <w:b/>
          <w:kern w:val="0"/>
          <w:sz w:val="23"/>
          <w:szCs w:val="23"/>
        </w:rPr>
      </w:pPr>
    </w:p>
    <w:p w:rsidR="003D1563" w:rsidRPr="003D1563" w:rsidRDefault="009069D3" w:rsidP="00E20251">
      <w:pPr>
        <w:widowControl/>
        <w:autoSpaceDE w:val="0"/>
        <w:autoSpaceDN w:val="0"/>
        <w:adjustRightInd w:val="0"/>
        <w:jc w:val="both"/>
        <w:rPr>
          <w:rFonts w:ascii="Times-Roman" w:hAnsi="Times-Roman" w:cs="Times-Roman"/>
          <w:b/>
          <w:kern w:val="0"/>
          <w:sz w:val="23"/>
          <w:szCs w:val="23"/>
        </w:rPr>
      </w:pPr>
      <w:r>
        <w:rPr>
          <w:rFonts w:ascii="Times-Roman" w:hAnsi="Times-Roman" w:cs="Times-Roman"/>
          <w:b/>
          <w:kern w:val="0"/>
          <w:sz w:val="23"/>
          <w:szCs w:val="23"/>
        </w:rPr>
        <w:t>Win Wind Capital Limited-</w:t>
      </w:r>
      <w:r w:rsidR="00A54136">
        <w:rPr>
          <w:rFonts w:ascii="Times-Roman" w:hAnsi="Times-Roman" w:cs="Times-Roman" w:hint="eastAsia"/>
          <w:b/>
          <w:kern w:val="0"/>
          <w:sz w:val="23"/>
          <w:szCs w:val="23"/>
        </w:rPr>
        <w:t xml:space="preserve">Policy for </w:t>
      </w:r>
      <w:r>
        <w:rPr>
          <w:rFonts w:ascii="Times-Roman" w:hAnsi="Times-Roman" w:cs="Times-Roman"/>
          <w:b/>
          <w:kern w:val="0"/>
          <w:sz w:val="23"/>
          <w:szCs w:val="23"/>
        </w:rPr>
        <w:t>securities trading</w:t>
      </w:r>
      <w:r w:rsidR="00A54136">
        <w:rPr>
          <w:rFonts w:ascii="Times-Roman" w:hAnsi="Times-Roman" w:cs="Times-Roman"/>
          <w:b/>
          <w:kern w:val="0"/>
          <w:sz w:val="23"/>
          <w:szCs w:val="23"/>
        </w:rPr>
        <w:t xml:space="preserve"> of US person</w:t>
      </w:r>
    </w:p>
    <w:p w:rsidR="003D1563" w:rsidRDefault="003D1563" w:rsidP="00E20251">
      <w:pPr>
        <w:widowControl/>
        <w:autoSpaceDE w:val="0"/>
        <w:autoSpaceDN w:val="0"/>
        <w:adjustRightInd w:val="0"/>
        <w:jc w:val="both"/>
        <w:rPr>
          <w:rFonts w:ascii="Times-Roman" w:hAnsi="Times-Roman" w:cs="Times-Roman"/>
          <w:kern w:val="0"/>
          <w:sz w:val="23"/>
          <w:szCs w:val="23"/>
        </w:rPr>
      </w:pPr>
    </w:p>
    <w:p w:rsidR="00E20251" w:rsidRPr="009069D3" w:rsidRDefault="00E20251" w:rsidP="00E20251">
      <w:pPr>
        <w:widowControl/>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Effective January 1, 2013, all U.S. persons are strictly prohibited from opening or</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 xml:space="preserve">maintaining an account with </w:t>
      </w:r>
      <w:r w:rsidRPr="009069D3">
        <w:rPr>
          <w:rFonts w:ascii="Times-Roman" w:hAnsi="Times-Roman" w:cs="Times-Roman" w:hint="eastAsia"/>
          <w:kern w:val="0"/>
          <w:sz w:val="20"/>
          <w:szCs w:val="20"/>
        </w:rPr>
        <w:t>W</w:t>
      </w:r>
      <w:r w:rsidRPr="009069D3">
        <w:rPr>
          <w:rFonts w:ascii="Times-Roman" w:hAnsi="Times-Roman" w:cs="Times-Roman"/>
          <w:kern w:val="0"/>
          <w:sz w:val="20"/>
          <w:szCs w:val="20"/>
        </w:rPr>
        <w:t>in Wind Capital Limited (together with its subsidiaries (i.e. Win Wind Securities Limited) and affiliates, “Win wind Group”).</w:t>
      </w:r>
    </w:p>
    <w:p w:rsidR="00E20251" w:rsidRPr="009069D3" w:rsidRDefault="00E20251" w:rsidP="00E20251">
      <w:pPr>
        <w:widowControl/>
        <w:autoSpaceDE w:val="0"/>
        <w:autoSpaceDN w:val="0"/>
        <w:adjustRightInd w:val="0"/>
        <w:jc w:val="both"/>
        <w:rPr>
          <w:rFonts w:ascii="Times-Roman" w:hAnsi="Times-Roman" w:cs="Times-Roman"/>
          <w:kern w:val="0"/>
          <w:sz w:val="20"/>
          <w:szCs w:val="20"/>
        </w:rPr>
      </w:pPr>
    </w:p>
    <w:p w:rsidR="00E20251" w:rsidRPr="009069D3" w:rsidRDefault="00E20251" w:rsidP="00E20251">
      <w:pPr>
        <w:widowControl/>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The Win Wind Group may review all new and existing client accounts to look for any</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indication that an individual may be considered a U.S. person. The Win Wind Group may</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request new or existing clients to self-certify that they are not a U.S. person by providing</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additional documentation (all information provided by the clients is hereinafter referred to as</w:t>
      </w:r>
      <w:r w:rsidRPr="009069D3">
        <w:rPr>
          <w:rFonts w:ascii="Times-Roman" w:hAnsi="Times-Roman" w:cs="Times-Roman" w:hint="eastAsia"/>
          <w:kern w:val="0"/>
          <w:sz w:val="20"/>
          <w:szCs w:val="20"/>
        </w:rPr>
        <w:t xml:space="preserve"> </w:t>
      </w:r>
      <w:r w:rsidR="00F678C9">
        <w:rPr>
          <w:rFonts w:ascii="Times-Roman" w:hAnsi="Times-Roman" w:cs="Times-Roman"/>
          <w:kern w:val="0"/>
          <w:sz w:val="20"/>
          <w:szCs w:val="20"/>
        </w:rPr>
        <w:t xml:space="preserve">the </w:t>
      </w:r>
      <w:r w:rsidRPr="009069D3">
        <w:rPr>
          <w:rFonts w:ascii="Times-Roman" w:hAnsi="Times-Roman" w:cs="Times-Roman"/>
          <w:kern w:val="0"/>
          <w:sz w:val="20"/>
          <w:szCs w:val="20"/>
        </w:rPr>
        <w:t>“Information”).</w:t>
      </w:r>
      <w:r w:rsidRPr="009069D3">
        <w:rPr>
          <w:rFonts w:ascii="Times-Roman" w:hAnsi="Times-Roman" w:cs="Times-Roman" w:hint="eastAsia"/>
          <w:kern w:val="0"/>
          <w:sz w:val="20"/>
          <w:szCs w:val="20"/>
        </w:rPr>
        <w:t xml:space="preserve"> </w:t>
      </w:r>
    </w:p>
    <w:p w:rsidR="00E20251" w:rsidRPr="009069D3" w:rsidRDefault="00E20251" w:rsidP="00E20251">
      <w:pPr>
        <w:widowControl/>
        <w:autoSpaceDE w:val="0"/>
        <w:autoSpaceDN w:val="0"/>
        <w:adjustRightInd w:val="0"/>
        <w:jc w:val="both"/>
        <w:rPr>
          <w:rFonts w:ascii="Times-Roman" w:hAnsi="Times-Roman" w:cs="Times-Roman"/>
          <w:kern w:val="0"/>
          <w:sz w:val="20"/>
          <w:szCs w:val="20"/>
        </w:rPr>
      </w:pPr>
    </w:p>
    <w:p w:rsidR="00E20251" w:rsidRPr="009069D3" w:rsidRDefault="00E20251" w:rsidP="00E20251">
      <w:pPr>
        <w:widowControl/>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The term “U.S. person” means:</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citizen of the U.S. (including an individual born in the U.S but is resident of</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another country);</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lawful resident of the U.S. (including U.S. green card holder);</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person residing in the U.S or a person spends a considerable amount of time in the</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U.S. on a yearly basis;</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U.S. partnership;</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U.S. corporation;</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An estate of a decedent that is a citizen or resident of the United States; and</w:t>
      </w:r>
    </w:p>
    <w:p w:rsidR="00E20251" w:rsidRPr="009069D3" w:rsidRDefault="00E20251" w:rsidP="00E20251">
      <w:pPr>
        <w:pStyle w:val="ListParagraph"/>
        <w:widowControl/>
        <w:numPr>
          <w:ilvl w:val="0"/>
          <w:numId w:val="2"/>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 trust if a court within the United States would have authority under applicable law</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to render orders or judgments concerning substantially all issues regarding</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administration of the trust, and one or more U.S. persons have the authority to control</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all substantial decisions of the trust.</w:t>
      </w:r>
      <w:r w:rsidRPr="009069D3">
        <w:rPr>
          <w:rFonts w:ascii="Times-Roman" w:hAnsi="Times-Roman" w:cs="Times-Roman" w:hint="eastAsia"/>
          <w:kern w:val="0"/>
          <w:sz w:val="20"/>
          <w:szCs w:val="20"/>
        </w:rPr>
        <w:t xml:space="preserve"> </w:t>
      </w:r>
    </w:p>
    <w:p w:rsidR="00E20251" w:rsidRPr="009069D3" w:rsidRDefault="00E20251" w:rsidP="00E20251">
      <w:pPr>
        <w:widowControl/>
        <w:autoSpaceDE w:val="0"/>
        <w:autoSpaceDN w:val="0"/>
        <w:adjustRightInd w:val="0"/>
        <w:jc w:val="both"/>
        <w:rPr>
          <w:rFonts w:ascii="Times-Roman" w:hAnsi="Times-Roman" w:cs="Times-Roman"/>
          <w:kern w:val="0"/>
          <w:sz w:val="20"/>
          <w:szCs w:val="20"/>
        </w:rPr>
      </w:pPr>
    </w:p>
    <w:p w:rsidR="00E20251" w:rsidRPr="009069D3" w:rsidRDefault="00E20251" w:rsidP="00E20251">
      <w:pPr>
        <w:widowControl/>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An account includes but is not limited to:</w:t>
      </w:r>
    </w:p>
    <w:p w:rsidR="00E20251" w:rsidRPr="009069D3" w:rsidRDefault="00E20251" w:rsidP="00E20251">
      <w:pPr>
        <w:pStyle w:val="ListParagraph"/>
        <w:widowControl/>
        <w:numPr>
          <w:ilvl w:val="0"/>
          <w:numId w:val="1"/>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Any depository account maintained by the Win Wind Group;</w:t>
      </w:r>
    </w:p>
    <w:p w:rsidR="00E20251" w:rsidRPr="009069D3" w:rsidRDefault="00E20251" w:rsidP="00E20251">
      <w:pPr>
        <w:pStyle w:val="ListParagraph"/>
        <w:widowControl/>
        <w:numPr>
          <w:ilvl w:val="0"/>
          <w:numId w:val="1"/>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Any custodial account maintained by the Win Wind Group; and</w:t>
      </w:r>
      <w:r w:rsidRPr="009069D3">
        <w:rPr>
          <w:rFonts w:ascii="Times-Roman" w:hAnsi="Times-Roman" w:cs="Times-Roman" w:hint="eastAsia"/>
          <w:kern w:val="0"/>
          <w:sz w:val="20"/>
          <w:szCs w:val="20"/>
        </w:rPr>
        <w:t xml:space="preserve"> </w:t>
      </w:r>
    </w:p>
    <w:p w:rsidR="00E20251" w:rsidRPr="009069D3" w:rsidRDefault="00E20251" w:rsidP="00E20251">
      <w:pPr>
        <w:pStyle w:val="ListParagraph"/>
        <w:widowControl/>
        <w:numPr>
          <w:ilvl w:val="0"/>
          <w:numId w:val="1"/>
        </w:numPr>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Any equity or debt interest in the Win Wind Group (other than interests that are</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readily tradable on an established securities market).</w:t>
      </w:r>
    </w:p>
    <w:p w:rsidR="00E20251" w:rsidRPr="009069D3" w:rsidRDefault="00E20251" w:rsidP="00E20251">
      <w:pPr>
        <w:widowControl/>
        <w:autoSpaceDE w:val="0"/>
        <w:autoSpaceDN w:val="0"/>
        <w:adjustRightInd w:val="0"/>
        <w:jc w:val="both"/>
        <w:rPr>
          <w:rFonts w:ascii="Times-Roman" w:hAnsi="Times-Roman" w:cs="Times-Roman"/>
          <w:kern w:val="0"/>
          <w:sz w:val="20"/>
          <w:szCs w:val="20"/>
        </w:rPr>
      </w:pPr>
    </w:p>
    <w:p w:rsidR="00E80641" w:rsidRPr="009069D3" w:rsidRDefault="00E20251" w:rsidP="001439DF">
      <w:pPr>
        <w:widowControl/>
        <w:autoSpaceDE w:val="0"/>
        <w:autoSpaceDN w:val="0"/>
        <w:adjustRightInd w:val="0"/>
        <w:jc w:val="both"/>
        <w:rPr>
          <w:rFonts w:ascii="Times-Roman" w:hAnsi="Times-Roman" w:cs="Times-Roman"/>
          <w:kern w:val="0"/>
          <w:sz w:val="20"/>
          <w:szCs w:val="20"/>
        </w:rPr>
      </w:pPr>
      <w:r w:rsidRPr="009069D3">
        <w:rPr>
          <w:rFonts w:ascii="Times-Roman" w:hAnsi="Times-Roman" w:cs="Times-Roman"/>
          <w:kern w:val="0"/>
          <w:sz w:val="20"/>
          <w:szCs w:val="20"/>
        </w:rPr>
        <w:t>To the best of its knowledge, the Win Wind Group considers the Information as accurate</w:t>
      </w:r>
      <w:r w:rsidR="001439DF">
        <w:rPr>
          <w:rFonts w:ascii="Times-Roman" w:hAnsi="Times-Roman" w:cs="Times-Roman" w:hint="eastAsia"/>
          <w:kern w:val="0"/>
          <w:sz w:val="20"/>
          <w:szCs w:val="20"/>
        </w:rPr>
        <w:t xml:space="preserve"> </w:t>
      </w:r>
      <w:r w:rsidRPr="009069D3">
        <w:rPr>
          <w:rFonts w:ascii="Times-Roman" w:hAnsi="Times-Roman" w:cs="Times-Roman"/>
          <w:kern w:val="0"/>
          <w:sz w:val="20"/>
          <w:szCs w:val="20"/>
        </w:rPr>
        <w:t>representation of its clients’ legal status. No representation or warranty is given, whether</w:t>
      </w:r>
      <w:r w:rsidR="001439DF">
        <w:rPr>
          <w:rFonts w:ascii="Times-Roman" w:hAnsi="Times-Roman" w:cs="Times-Roman" w:hint="eastAsia"/>
          <w:kern w:val="0"/>
          <w:sz w:val="20"/>
          <w:szCs w:val="20"/>
        </w:rPr>
        <w:t xml:space="preserve"> </w:t>
      </w:r>
      <w:r w:rsidRPr="009069D3">
        <w:rPr>
          <w:rFonts w:ascii="Times-Roman" w:hAnsi="Times-Roman" w:cs="Times-Roman"/>
          <w:kern w:val="0"/>
          <w:sz w:val="20"/>
          <w:szCs w:val="20"/>
        </w:rPr>
        <w:t>express or implied, on the accuracy, adequacy or completeness of Information. The</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Win Wind Group is not responsible for the Information, nor do their respective shareholders,</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directors, officers and employees assume any liabilities in respect of any errors or omissions</w:t>
      </w:r>
      <w:r w:rsidRPr="009069D3">
        <w:rPr>
          <w:rFonts w:ascii="Times-Roman" w:hAnsi="Times-Roman" w:cs="Times-Roman" w:hint="eastAsia"/>
          <w:kern w:val="0"/>
          <w:sz w:val="20"/>
          <w:szCs w:val="20"/>
        </w:rPr>
        <w:t xml:space="preserve"> </w:t>
      </w:r>
      <w:r w:rsidRPr="009069D3">
        <w:rPr>
          <w:rFonts w:ascii="Times-Roman" w:hAnsi="Times-Roman" w:cs="Times-Roman"/>
          <w:kern w:val="0"/>
          <w:sz w:val="20"/>
          <w:szCs w:val="20"/>
        </w:rPr>
        <w:t>in connection with the Information.</w:t>
      </w:r>
    </w:p>
    <w:p w:rsidR="00E20251" w:rsidRDefault="00E20251" w:rsidP="00E20251">
      <w:pPr>
        <w:widowControl/>
        <w:autoSpaceDE w:val="0"/>
        <w:autoSpaceDN w:val="0"/>
        <w:adjustRightInd w:val="0"/>
        <w:jc w:val="both"/>
        <w:rPr>
          <w:rFonts w:ascii="Times-Roman" w:hAnsi="Times-Roman" w:cs="Times-Roman"/>
          <w:kern w:val="0"/>
          <w:sz w:val="21"/>
          <w:szCs w:val="21"/>
        </w:rPr>
      </w:pPr>
    </w:p>
    <w:p w:rsidR="009069D3" w:rsidRDefault="009069D3" w:rsidP="00E20251">
      <w:pPr>
        <w:widowControl/>
        <w:autoSpaceDE w:val="0"/>
        <w:autoSpaceDN w:val="0"/>
        <w:adjustRightInd w:val="0"/>
        <w:jc w:val="both"/>
        <w:rPr>
          <w:rFonts w:ascii="Times-Roman" w:hAnsi="Times-Roman" w:cs="Times-Roman"/>
          <w:kern w:val="0"/>
          <w:sz w:val="21"/>
          <w:szCs w:val="21"/>
        </w:rPr>
      </w:pPr>
    </w:p>
    <w:p w:rsidR="009069D3" w:rsidRDefault="009069D3" w:rsidP="00E20251">
      <w:pPr>
        <w:widowControl/>
        <w:autoSpaceDE w:val="0"/>
        <w:autoSpaceDN w:val="0"/>
        <w:adjustRightInd w:val="0"/>
        <w:jc w:val="both"/>
        <w:rPr>
          <w:rFonts w:ascii="Times-Roman" w:hAnsi="Times-Roman" w:cs="Times-Roman"/>
          <w:kern w:val="0"/>
          <w:sz w:val="21"/>
          <w:szCs w:val="21"/>
        </w:rPr>
      </w:pPr>
    </w:p>
    <w:p w:rsidR="00E80641" w:rsidRDefault="00641FE1" w:rsidP="00E20251">
      <w:pPr>
        <w:widowControl/>
        <w:autoSpaceDE w:val="0"/>
        <w:autoSpaceDN w:val="0"/>
        <w:adjustRightInd w:val="0"/>
        <w:jc w:val="both"/>
        <w:rPr>
          <w:rFonts w:ascii="Times-Roman" w:hAnsi="Times-Roman" w:cs="Times-Roman"/>
          <w:b/>
          <w:kern w:val="0"/>
          <w:sz w:val="21"/>
          <w:szCs w:val="21"/>
        </w:rPr>
      </w:pPr>
      <w:r w:rsidRPr="009069D3">
        <w:rPr>
          <w:rFonts w:ascii="Times-Roman" w:hAnsi="Times-Roman" w:cs="Times-Roman"/>
          <w:b/>
          <w:kern w:val="0"/>
          <w:sz w:val="21"/>
          <w:szCs w:val="21"/>
        </w:rPr>
        <w:lastRenderedPageBreak/>
        <w:t xml:space="preserve">I/We </w:t>
      </w:r>
      <w:r w:rsidR="00E80641" w:rsidRPr="009069D3">
        <w:rPr>
          <w:rFonts w:ascii="Times-Roman" w:hAnsi="Times-Roman" w:cs="Times-Roman"/>
          <w:b/>
          <w:kern w:val="0"/>
          <w:sz w:val="21"/>
          <w:szCs w:val="21"/>
        </w:rPr>
        <w:t>confirm the following</w:t>
      </w:r>
      <w:r w:rsidR="00F678C9">
        <w:rPr>
          <w:rFonts w:ascii="Times-Roman" w:hAnsi="Times-Roman" w:cs="Times-Roman"/>
          <w:b/>
          <w:kern w:val="0"/>
          <w:sz w:val="21"/>
          <w:szCs w:val="21"/>
        </w:rPr>
        <w:t>s</w:t>
      </w:r>
      <w:r w:rsidR="00E80641" w:rsidRPr="009069D3">
        <w:rPr>
          <w:rFonts w:ascii="Times-Roman" w:hAnsi="Times-Roman" w:cs="Times-Roman"/>
          <w:b/>
          <w:kern w:val="0"/>
          <w:sz w:val="21"/>
          <w:szCs w:val="21"/>
        </w:rPr>
        <w:t>:</w:t>
      </w:r>
    </w:p>
    <w:p w:rsidR="009069D3" w:rsidRPr="009069D3" w:rsidRDefault="009069D3" w:rsidP="00E20251">
      <w:pPr>
        <w:widowControl/>
        <w:autoSpaceDE w:val="0"/>
        <w:autoSpaceDN w:val="0"/>
        <w:adjustRightInd w:val="0"/>
        <w:jc w:val="both"/>
        <w:rPr>
          <w:rFonts w:ascii="Times-Roman" w:hAnsi="Times-Roman" w:cs="Times-Roman"/>
          <w:b/>
          <w:kern w:val="0"/>
          <w:sz w:val="21"/>
          <w:szCs w:val="21"/>
        </w:rPr>
      </w:pP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I/We</w:t>
      </w:r>
      <w:r w:rsidR="00E80641" w:rsidRPr="00E20251">
        <w:rPr>
          <w:rFonts w:ascii="Times-Roman" w:hAnsi="Times-Roman" w:cs="Times-Roman"/>
          <w:kern w:val="0"/>
          <w:sz w:val="21"/>
          <w:szCs w:val="21"/>
        </w:rPr>
        <w:t xml:space="preserve"> </w:t>
      </w:r>
      <w:r>
        <w:rPr>
          <w:rFonts w:ascii="Times-Roman" w:hAnsi="Times-Roman" w:cs="Times-Roman"/>
          <w:kern w:val="0"/>
          <w:sz w:val="21"/>
          <w:szCs w:val="21"/>
        </w:rPr>
        <w:t>is/are not a U.S. citizen;</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I/We</w:t>
      </w:r>
      <w:r w:rsidRPr="00E20251">
        <w:rPr>
          <w:rFonts w:ascii="Times-Roman" w:hAnsi="Times-Roman" w:cs="Times-Roman"/>
          <w:kern w:val="0"/>
          <w:sz w:val="21"/>
          <w:szCs w:val="21"/>
        </w:rPr>
        <w:t xml:space="preserve"> </w:t>
      </w:r>
      <w:r>
        <w:rPr>
          <w:rFonts w:ascii="Times-Roman" w:hAnsi="Times-Roman" w:cs="Times-Roman"/>
          <w:kern w:val="0"/>
          <w:sz w:val="21"/>
          <w:szCs w:val="21"/>
        </w:rPr>
        <w:t>is/are</w:t>
      </w:r>
      <w:r w:rsidR="00E80641" w:rsidRPr="00E20251">
        <w:rPr>
          <w:rFonts w:ascii="Times-Roman" w:hAnsi="Times-Roman" w:cs="Times-Roman"/>
          <w:kern w:val="0"/>
          <w:sz w:val="21"/>
          <w:szCs w:val="21"/>
        </w:rPr>
        <w:t xml:space="preserve"> </w:t>
      </w:r>
      <w:r>
        <w:rPr>
          <w:rFonts w:ascii="Times-Roman" w:hAnsi="Times-Roman" w:cs="Times-Roman"/>
          <w:kern w:val="0"/>
          <w:sz w:val="21"/>
          <w:szCs w:val="21"/>
        </w:rPr>
        <w:t>not a U.S. resident;</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I/</w:t>
      </w:r>
      <w:r w:rsidR="00D81677">
        <w:rPr>
          <w:rFonts w:ascii="Times-Roman" w:hAnsi="Times-Roman" w:cs="Times-Roman"/>
          <w:kern w:val="0"/>
          <w:sz w:val="21"/>
          <w:szCs w:val="21"/>
        </w:rPr>
        <w:t>W</w:t>
      </w:r>
      <w:r>
        <w:rPr>
          <w:rFonts w:ascii="Times-Roman" w:hAnsi="Times-Roman" w:cs="Times-Roman"/>
          <w:kern w:val="0"/>
          <w:sz w:val="21"/>
          <w:szCs w:val="21"/>
        </w:rPr>
        <w:t>e do not</w:t>
      </w:r>
      <w:r w:rsidR="009069D3">
        <w:rPr>
          <w:rFonts w:ascii="Times-Roman" w:hAnsi="Times-Roman" w:cs="Times-Roman"/>
          <w:kern w:val="0"/>
          <w:sz w:val="21"/>
          <w:szCs w:val="21"/>
        </w:rPr>
        <w:t xml:space="preserve"> </w:t>
      </w:r>
      <w:r w:rsidR="00E80641" w:rsidRPr="00E20251">
        <w:rPr>
          <w:rFonts w:ascii="Times-Roman" w:hAnsi="Times-Roman" w:cs="Times-Roman"/>
          <w:kern w:val="0"/>
          <w:sz w:val="21"/>
          <w:szCs w:val="21"/>
        </w:rPr>
        <w:t xml:space="preserve">hold a U.S. permanent </w:t>
      </w:r>
      <w:r>
        <w:rPr>
          <w:rFonts w:ascii="Times-Roman" w:hAnsi="Times-Roman" w:cs="Times-Roman"/>
          <w:kern w:val="0"/>
          <w:sz w:val="21"/>
          <w:szCs w:val="21"/>
        </w:rPr>
        <w:t>resident card (Green card);</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 xml:space="preserve">Our </w:t>
      </w:r>
      <w:r w:rsidR="00E80641" w:rsidRPr="00E20251">
        <w:rPr>
          <w:rFonts w:ascii="Times-Roman" w:hAnsi="Times-Roman" w:cs="Times-Roman"/>
          <w:kern w:val="0"/>
          <w:sz w:val="21"/>
          <w:szCs w:val="21"/>
        </w:rPr>
        <w:t xml:space="preserve">company </w:t>
      </w:r>
      <w:r>
        <w:rPr>
          <w:rFonts w:ascii="Times-Roman" w:hAnsi="Times-Roman" w:cs="Times-Roman"/>
          <w:kern w:val="0"/>
          <w:sz w:val="21"/>
          <w:szCs w:val="21"/>
        </w:rPr>
        <w:t xml:space="preserve">is not </w:t>
      </w:r>
      <w:r w:rsidR="00E80641" w:rsidRPr="00E20251">
        <w:rPr>
          <w:rFonts w:ascii="Times-Roman" w:hAnsi="Times-Roman" w:cs="Times-Roman"/>
          <w:kern w:val="0"/>
          <w:sz w:val="21"/>
          <w:szCs w:val="21"/>
        </w:rPr>
        <w:t>incorporated in U.S</w:t>
      </w:r>
      <w:r>
        <w:rPr>
          <w:rFonts w:ascii="Times-Roman" w:hAnsi="Times-Roman" w:cs="Times-Roman"/>
          <w:kern w:val="0"/>
          <w:sz w:val="21"/>
          <w:szCs w:val="21"/>
        </w:rPr>
        <w:t>. (U.S. Place of Birth);</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 xml:space="preserve">There is no </w:t>
      </w:r>
      <w:r w:rsidR="00E80641" w:rsidRPr="00E20251">
        <w:rPr>
          <w:rFonts w:ascii="Times-Roman" w:hAnsi="Times-Roman" w:cs="Times-Roman"/>
          <w:kern w:val="0"/>
          <w:sz w:val="21"/>
          <w:szCs w:val="21"/>
        </w:rPr>
        <w:t xml:space="preserve">Power of Attorney or signatory authority granted to </w:t>
      </w:r>
      <w:r>
        <w:rPr>
          <w:rFonts w:ascii="Times-Roman" w:hAnsi="Times-Roman" w:cs="Times-Roman"/>
          <w:kern w:val="0"/>
          <w:sz w:val="21"/>
          <w:szCs w:val="21"/>
        </w:rPr>
        <w:t>person with U.S. address;</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 xml:space="preserve">There will not be </w:t>
      </w:r>
      <w:r w:rsidR="00E80641" w:rsidRPr="00E20251">
        <w:rPr>
          <w:rFonts w:ascii="Times-Roman" w:hAnsi="Times-Roman" w:cs="Times-Roman"/>
          <w:kern w:val="0"/>
          <w:sz w:val="21"/>
          <w:szCs w:val="21"/>
        </w:rPr>
        <w:t>instructions to transfer funds to U.S. accounts or directions regularly received</w:t>
      </w:r>
      <w:r w:rsidR="00E80641" w:rsidRPr="00E20251">
        <w:rPr>
          <w:rFonts w:ascii="Times-Roman" w:hAnsi="Times-Roman" w:cs="Times-Roman" w:hint="eastAsia"/>
          <w:kern w:val="0"/>
          <w:sz w:val="21"/>
          <w:szCs w:val="21"/>
        </w:rPr>
        <w:t xml:space="preserve"> </w:t>
      </w:r>
      <w:r>
        <w:rPr>
          <w:rFonts w:ascii="Times-Roman" w:hAnsi="Times-Roman" w:cs="Times-Roman"/>
          <w:kern w:val="0"/>
          <w:sz w:val="21"/>
          <w:szCs w:val="21"/>
        </w:rPr>
        <w:t>from a U.S. address;</w:t>
      </w:r>
    </w:p>
    <w:p w:rsidR="00E80641" w:rsidRPr="00E20251" w:rsidRDefault="00641FE1"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 xml:space="preserve">There will not be an </w:t>
      </w:r>
      <w:r w:rsidR="00E80641" w:rsidRPr="00E20251">
        <w:rPr>
          <w:rFonts w:ascii="Times-Roman" w:hAnsi="Times-Roman" w:cs="Times-Roman"/>
          <w:kern w:val="0"/>
          <w:sz w:val="21"/>
          <w:szCs w:val="21"/>
        </w:rPr>
        <w:t>address on file which is "in care of" or "hold mail" or U.S. P.O. Box and/or U.S.</w:t>
      </w:r>
      <w:r w:rsidR="00E80641" w:rsidRPr="00E20251">
        <w:rPr>
          <w:rFonts w:ascii="Times-Roman" w:hAnsi="Times-Roman" w:cs="Times-Roman" w:hint="eastAsia"/>
          <w:kern w:val="0"/>
          <w:sz w:val="21"/>
          <w:szCs w:val="21"/>
        </w:rPr>
        <w:t xml:space="preserve"> </w:t>
      </w:r>
      <w:r>
        <w:rPr>
          <w:rFonts w:ascii="Times-Roman" w:hAnsi="Times-Roman" w:cs="Times-Roman"/>
          <w:kern w:val="0"/>
          <w:sz w:val="21"/>
          <w:szCs w:val="21"/>
        </w:rPr>
        <w:t>telephone number;</w:t>
      </w:r>
    </w:p>
    <w:p w:rsidR="00E80641" w:rsidRPr="00E20251" w:rsidRDefault="009069D3" w:rsidP="00E20251">
      <w:pPr>
        <w:pStyle w:val="ListParagraph"/>
        <w:widowControl/>
        <w:numPr>
          <w:ilvl w:val="0"/>
          <w:numId w:val="3"/>
        </w:numPr>
        <w:autoSpaceDE w:val="0"/>
        <w:autoSpaceDN w:val="0"/>
        <w:adjustRightInd w:val="0"/>
        <w:jc w:val="both"/>
        <w:rPr>
          <w:rFonts w:ascii="Times-Roman" w:hAnsi="Times-Roman" w:cs="Times-Roman"/>
          <w:kern w:val="0"/>
          <w:sz w:val="21"/>
          <w:szCs w:val="21"/>
        </w:rPr>
      </w:pPr>
      <w:r>
        <w:rPr>
          <w:rFonts w:ascii="Times-Roman" w:hAnsi="Times-Roman" w:cs="Times-Roman"/>
          <w:kern w:val="0"/>
          <w:sz w:val="21"/>
          <w:szCs w:val="21"/>
        </w:rPr>
        <w:t>I/</w:t>
      </w:r>
      <w:r w:rsidR="00E80641" w:rsidRPr="00E20251">
        <w:rPr>
          <w:rFonts w:ascii="Times-Roman" w:hAnsi="Times-Roman" w:cs="Times-Roman"/>
          <w:kern w:val="0"/>
          <w:sz w:val="21"/>
          <w:szCs w:val="21"/>
        </w:rPr>
        <w:t xml:space="preserve">We are opening and/or maintaining our account with the Company for </w:t>
      </w:r>
      <w:r>
        <w:rPr>
          <w:rFonts w:ascii="Times-Roman" w:hAnsi="Times-Roman" w:cs="Times-Roman"/>
          <w:kern w:val="0"/>
          <w:sz w:val="21"/>
          <w:szCs w:val="21"/>
        </w:rPr>
        <w:t>my/</w:t>
      </w:r>
      <w:r w:rsidR="00E80641" w:rsidRPr="00E20251">
        <w:rPr>
          <w:rFonts w:ascii="Times-Roman" w:hAnsi="Times-Roman" w:cs="Times-Roman"/>
          <w:kern w:val="0"/>
          <w:sz w:val="21"/>
          <w:szCs w:val="21"/>
        </w:rPr>
        <w:t>our own account and</w:t>
      </w:r>
      <w:r w:rsidR="00E80641" w:rsidRPr="00E20251">
        <w:rPr>
          <w:rFonts w:ascii="Times-Roman" w:hAnsi="Times-Roman" w:cs="Times-Roman" w:hint="eastAsia"/>
          <w:kern w:val="0"/>
          <w:sz w:val="21"/>
          <w:szCs w:val="21"/>
        </w:rPr>
        <w:t xml:space="preserve"> </w:t>
      </w:r>
      <w:r>
        <w:rPr>
          <w:rFonts w:ascii="Times-Roman" w:hAnsi="Times-Roman" w:cs="Times-Roman"/>
          <w:kern w:val="0"/>
          <w:sz w:val="21"/>
          <w:szCs w:val="21"/>
        </w:rPr>
        <w:t>I/</w:t>
      </w:r>
      <w:r w:rsidR="00E80641" w:rsidRPr="00E20251">
        <w:rPr>
          <w:rFonts w:ascii="Times-Roman" w:hAnsi="Times-Roman" w:cs="Times-Roman"/>
          <w:kern w:val="0"/>
          <w:sz w:val="21"/>
          <w:szCs w:val="21"/>
        </w:rPr>
        <w:t>we are both the ultimate legal and benefici</w:t>
      </w:r>
      <w:r w:rsidR="00641FE1">
        <w:rPr>
          <w:rFonts w:ascii="Times-Roman" w:hAnsi="Times-Roman" w:cs="Times-Roman"/>
          <w:kern w:val="0"/>
          <w:sz w:val="21"/>
          <w:szCs w:val="21"/>
        </w:rPr>
        <w:t>al owner of the account.</w:t>
      </w:r>
    </w:p>
    <w:p w:rsidR="00E80641" w:rsidRDefault="00E80641" w:rsidP="00E20251">
      <w:pPr>
        <w:widowControl/>
        <w:autoSpaceDE w:val="0"/>
        <w:autoSpaceDN w:val="0"/>
        <w:adjustRightInd w:val="0"/>
        <w:jc w:val="both"/>
        <w:rPr>
          <w:rFonts w:ascii="Times-Roman" w:hAnsi="Times-Roman" w:cs="Times-Roman"/>
          <w:kern w:val="0"/>
          <w:sz w:val="21"/>
          <w:szCs w:val="21"/>
        </w:rPr>
      </w:pPr>
    </w:p>
    <w:p w:rsidR="00E80641" w:rsidRDefault="009069D3" w:rsidP="00E20251">
      <w:pPr>
        <w:widowControl/>
        <w:autoSpaceDE w:val="0"/>
        <w:autoSpaceDN w:val="0"/>
        <w:adjustRightInd w:val="0"/>
        <w:jc w:val="both"/>
        <w:rPr>
          <w:rFonts w:ascii="Times-Roman" w:hAnsi="Times-Roman" w:cs="Times-Roman"/>
          <w:kern w:val="0"/>
          <w:sz w:val="21"/>
          <w:szCs w:val="21"/>
        </w:rPr>
      </w:pPr>
      <w:r>
        <w:rPr>
          <w:rFonts w:ascii="Times-Roman" w:hAnsi="Times-Roman" w:cs="Times-Roman" w:hint="eastAsia"/>
          <w:kern w:val="0"/>
          <w:sz w:val="21"/>
          <w:szCs w:val="21"/>
        </w:rPr>
        <w:t>I/</w:t>
      </w:r>
      <w:r w:rsidR="00E80641">
        <w:rPr>
          <w:rFonts w:ascii="Times-Roman" w:hAnsi="Times-Roman" w:cs="Times-Roman"/>
          <w:kern w:val="0"/>
          <w:sz w:val="21"/>
          <w:szCs w:val="21"/>
        </w:rPr>
        <w:t>We hereby confirm the information provided above is true, accurate and complete. Subject to</w:t>
      </w:r>
      <w:r w:rsidR="00E80641">
        <w:rPr>
          <w:rFonts w:ascii="Times-Roman" w:hAnsi="Times-Roman" w:cs="Times-Roman" w:hint="eastAsia"/>
          <w:kern w:val="0"/>
          <w:sz w:val="21"/>
          <w:szCs w:val="21"/>
        </w:rPr>
        <w:t xml:space="preserve"> </w:t>
      </w:r>
      <w:r w:rsidR="00E80641">
        <w:rPr>
          <w:rFonts w:ascii="Times-Roman" w:hAnsi="Times-Roman" w:cs="Times-Roman"/>
          <w:kern w:val="0"/>
          <w:sz w:val="21"/>
          <w:szCs w:val="21"/>
        </w:rPr>
        <w:t xml:space="preserve">applicable local laws, </w:t>
      </w:r>
      <w:r>
        <w:rPr>
          <w:rFonts w:ascii="Times-Roman" w:hAnsi="Times-Roman" w:cs="Times-Roman"/>
          <w:kern w:val="0"/>
          <w:sz w:val="21"/>
          <w:szCs w:val="21"/>
        </w:rPr>
        <w:t>I/</w:t>
      </w:r>
      <w:r w:rsidR="00E80641">
        <w:rPr>
          <w:rFonts w:ascii="Times-Roman" w:hAnsi="Times-Roman" w:cs="Times-Roman"/>
          <w:kern w:val="0"/>
          <w:sz w:val="21"/>
          <w:szCs w:val="21"/>
        </w:rPr>
        <w:t xml:space="preserve">we hereby consent for </w:t>
      </w:r>
      <w:r w:rsidR="00E20251">
        <w:rPr>
          <w:rFonts w:ascii="Times-Roman" w:hAnsi="Times-Roman" w:cs="Times-Roman"/>
          <w:kern w:val="0"/>
          <w:sz w:val="21"/>
          <w:szCs w:val="21"/>
        </w:rPr>
        <w:t>Win Wind</w:t>
      </w:r>
      <w:r w:rsidR="00E80641">
        <w:rPr>
          <w:rFonts w:ascii="Times-Roman" w:hAnsi="Times-Roman" w:cs="Times-Roman"/>
          <w:kern w:val="0"/>
          <w:sz w:val="21"/>
          <w:szCs w:val="21"/>
        </w:rPr>
        <w:t xml:space="preserve"> Securities Limited (the “Company”) or any of</w:t>
      </w:r>
      <w:r w:rsidR="00E80641">
        <w:rPr>
          <w:rFonts w:ascii="Times-Roman" w:hAnsi="Times-Roman" w:cs="Times-Roman" w:hint="eastAsia"/>
          <w:kern w:val="0"/>
          <w:sz w:val="21"/>
          <w:szCs w:val="21"/>
        </w:rPr>
        <w:t xml:space="preserve"> </w:t>
      </w:r>
      <w:r w:rsidR="00E80641">
        <w:rPr>
          <w:rFonts w:ascii="Times-Roman" w:hAnsi="Times-Roman" w:cs="Times-Roman"/>
          <w:kern w:val="0"/>
          <w:sz w:val="21"/>
          <w:szCs w:val="21"/>
        </w:rPr>
        <w:t>its affiliates to share my</w:t>
      </w:r>
      <w:r>
        <w:rPr>
          <w:rFonts w:ascii="Times-Roman" w:hAnsi="Times-Roman" w:cs="Times-Roman" w:hint="eastAsia"/>
          <w:kern w:val="0"/>
          <w:sz w:val="21"/>
          <w:szCs w:val="21"/>
        </w:rPr>
        <w:t>/</w:t>
      </w:r>
      <w:r>
        <w:rPr>
          <w:rFonts w:ascii="Times-Roman" w:hAnsi="Times-Roman" w:cs="Times-Roman"/>
          <w:kern w:val="0"/>
          <w:sz w:val="21"/>
          <w:szCs w:val="21"/>
        </w:rPr>
        <w:t>our</w:t>
      </w:r>
      <w:r w:rsidR="00E80641">
        <w:rPr>
          <w:rFonts w:ascii="Times-Roman" w:hAnsi="Times-Roman" w:cs="Times-Roman"/>
          <w:kern w:val="0"/>
          <w:sz w:val="21"/>
          <w:szCs w:val="21"/>
        </w:rPr>
        <w:t xml:space="preserve"> information with domestic or overseas regulators or tax authorities where</w:t>
      </w:r>
      <w:r w:rsidR="00E80641">
        <w:rPr>
          <w:rFonts w:ascii="Times-Roman" w:hAnsi="Times-Roman" w:cs="Times-Roman" w:hint="eastAsia"/>
          <w:kern w:val="0"/>
          <w:sz w:val="21"/>
          <w:szCs w:val="21"/>
        </w:rPr>
        <w:t xml:space="preserve"> </w:t>
      </w:r>
      <w:r w:rsidR="00E80641">
        <w:rPr>
          <w:rFonts w:ascii="Times-Roman" w:hAnsi="Times-Roman" w:cs="Times-Roman"/>
          <w:kern w:val="0"/>
          <w:sz w:val="21"/>
          <w:szCs w:val="21"/>
        </w:rPr>
        <w:t>necessary to establish my</w:t>
      </w:r>
      <w:r>
        <w:rPr>
          <w:rFonts w:ascii="Times-Roman" w:hAnsi="Times-Roman" w:cs="Times-Roman"/>
          <w:kern w:val="0"/>
          <w:sz w:val="21"/>
          <w:szCs w:val="21"/>
        </w:rPr>
        <w:t>/our</w:t>
      </w:r>
      <w:r w:rsidR="00E80641">
        <w:rPr>
          <w:rFonts w:ascii="Times-Roman" w:hAnsi="Times-Roman" w:cs="Times-Roman"/>
          <w:kern w:val="0"/>
          <w:sz w:val="21"/>
          <w:szCs w:val="21"/>
        </w:rPr>
        <w:t xml:space="preserve"> tax liability in any jurisdiction.</w:t>
      </w:r>
    </w:p>
    <w:p w:rsidR="00E80641" w:rsidRDefault="00E80641" w:rsidP="00E20251">
      <w:pPr>
        <w:widowControl/>
        <w:autoSpaceDE w:val="0"/>
        <w:autoSpaceDN w:val="0"/>
        <w:adjustRightInd w:val="0"/>
        <w:jc w:val="both"/>
        <w:rPr>
          <w:rFonts w:ascii="Times-Roman" w:hAnsi="Times-Roman" w:cs="Times-Roman"/>
          <w:kern w:val="0"/>
          <w:sz w:val="21"/>
          <w:szCs w:val="21"/>
        </w:rPr>
      </w:pPr>
    </w:p>
    <w:p w:rsidR="00E80641" w:rsidRPr="009069D3" w:rsidRDefault="00E80641" w:rsidP="00E20251">
      <w:pPr>
        <w:widowControl/>
        <w:autoSpaceDE w:val="0"/>
        <w:autoSpaceDN w:val="0"/>
        <w:adjustRightInd w:val="0"/>
        <w:jc w:val="both"/>
        <w:rPr>
          <w:rFonts w:ascii="Times-Roman" w:hAnsi="Times-Roman" w:cs="Times-Roman"/>
          <w:b/>
          <w:kern w:val="0"/>
          <w:sz w:val="21"/>
          <w:szCs w:val="21"/>
        </w:rPr>
      </w:pPr>
      <w:r w:rsidRPr="009069D3">
        <w:rPr>
          <w:rFonts w:ascii="Times-Roman" w:hAnsi="Times-Roman" w:cs="Times-Roman"/>
          <w:b/>
          <w:kern w:val="0"/>
          <w:sz w:val="21"/>
          <w:szCs w:val="21"/>
        </w:rPr>
        <w:t xml:space="preserve">Where required by domestic or overseas regulators or tax authorities, </w:t>
      </w:r>
      <w:r w:rsidR="009069D3">
        <w:rPr>
          <w:rFonts w:ascii="Times-Roman" w:hAnsi="Times-Roman" w:cs="Times-Roman"/>
          <w:b/>
          <w:kern w:val="0"/>
          <w:sz w:val="21"/>
          <w:szCs w:val="21"/>
        </w:rPr>
        <w:t>I/</w:t>
      </w:r>
      <w:r w:rsidRPr="009069D3">
        <w:rPr>
          <w:rFonts w:ascii="Times-Roman" w:hAnsi="Times-Roman" w:cs="Times-Roman"/>
          <w:b/>
          <w:kern w:val="0"/>
          <w:sz w:val="21"/>
          <w:szCs w:val="21"/>
        </w:rPr>
        <w:t>we consent and agree that the</w:t>
      </w:r>
      <w:r w:rsidRPr="009069D3">
        <w:rPr>
          <w:rFonts w:ascii="Times-Roman" w:hAnsi="Times-Roman" w:cs="Times-Roman" w:hint="eastAsia"/>
          <w:b/>
          <w:kern w:val="0"/>
          <w:sz w:val="21"/>
          <w:szCs w:val="21"/>
        </w:rPr>
        <w:t xml:space="preserve"> </w:t>
      </w:r>
      <w:r w:rsidRPr="009069D3">
        <w:rPr>
          <w:rFonts w:ascii="Times-Roman" w:hAnsi="Times-Roman" w:cs="Times-Roman"/>
          <w:b/>
          <w:kern w:val="0"/>
          <w:sz w:val="21"/>
          <w:szCs w:val="21"/>
        </w:rPr>
        <w:t xml:space="preserve">Company may withhold, and pay out, from </w:t>
      </w:r>
      <w:r w:rsidR="009069D3">
        <w:rPr>
          <w:rFonts w:ascii="Times-Roman" w:hAnsi="Times-Roman" w:cs="Times-Roman"/>
          <w:b/>
          <w:kern w:val="0"/>
          <w:sz w:val="21"/>
          <w:szCs w:val="21"/>
        </w:rPr>
        <w:t>I/</w:t>
      </w:r>
      <w:r w:rsidRPr="009069D3">
        <w:rPr>
          <w:rFonts w:ascii="Times-Roman" w:hAnsi="Times-Roman" w:cs="Times-Roman"/>
          <w:b/>
          <w:kern w:val="0"/>
          <w:sz w:val="21"/>
          <w:szCs w:val="21"/>
        </w:rPr>
        <w:t>our account(s) such amounts as may be required according</w:t>
      </w:r>
      <w:r w:rsidRPr="009069D3">
        <w:rPr>
          <w:rFonts w:ascii="Times-Roman" w:hAnsi="Times-Roman" w:cs="Times-Roman" w:hint="eastAsia"/>
          <w:b/>
          <w:kern w:val="0"/>
          <w:sz w:val="21"/>
          <w:szCs w:val="21"/>
        </w:rPr>
        <w:t xml:space="preserve"> </w:t>
      </w:r>
      <w:r w:rsidRPr="009069D3">
        <w:rPr>
          <w:rFonts w:ascii="Times-Roman" w:hAnsi="Times-Roman" w:cs="Times-Roman"/>
          <w:b/>
          <w:kern w:val="0"/>
          <w:sz w:val="21"/>
          <w:szCs w:val="21"/>
        </w:rPr>
        <w:t>to applicable laws, regulations, agreements with regulators or authorities and directives.</w:t>
      </w:r>
    </w:p>
    <w:p w:rsidR="00E80641" w:rsidRPr="009069D3" w:rsidRDefault="00E80641" w:rsidP="00E20251">
      <w:pPr>
        <w:widowControl/>
        <w:autoSpaceDE w:val="0"/>
        <w:autoSpaceDN w:val="0"/>
        <w:adjustRightInd w:val="0"/>
        <w:jc w:val="both"/>
        <w:rPr>
          <w:rFonts w:ascii="Times-Roman" w:hAnsi="Times-Roman" w:cs="Times-Roman"/>
          <w:b/>
          <w:kern w:val="0"/>
          <w:sz w:val="21"/>
          <w:szCs w:val="21"/>
        </w:rPr>
      </w:pPr>
    </w:p>
    <w:p w:rsidR="00E80641" w:rsidRPr="009069D3" w:rsidRDefault="009069D3" w:rsidP="00E20251">
      <w:pPr>
        <w:widowControl/>
        <w:autoSpaceDE w:val="0"/>
        <w:autoSpaceDN w:val="0"/>
        <w:adjustRightInd w:val="0"/>
        <w:jc w:val="both"/>
        <w:rPr>
          <w:rFonts w:ascii="Times-Roman" w:hAnsi="Times-Roman" w:cs="Times-Roman"/>
          <w:b/>
          <w:kern w:val="0"/>
          <w:sz w:val="21"/>
          <w:szCs w:val="21"/>
        </w:rPr>
      </w:pPr>
      <w:r>
        <w:rPr>
          <w:rFonts w:ascii="Times-Roman" w:hAnsi="Times-Roman" w:cs="Times-Roman" w:hint="eastAsia"/>
          <w:b/>
          <w:kern w:val="0"/>
          <w:sz w:val="21"/>
          <w:szCs w:val="21"/>
        </w:rPr>
        <w:t>I/</w:t>
      </w:r>
      <w:r w:rsidR="00E80641" w:rsidRPr="009069D3">
        <w:rPr>
          <w:rFonts w:ascii="Times-Roman" w:hAnsi="Times-Roman" w:cs="Times-Roman"/>
          <w:b/>
          <w:kern w:val="0"/>
          <w:sz w:val="21"/>
          <w:szCs w:val="21"/>
        </w:rPr>
        <w:t>We further represent and warrant that we are not a “U.S. person” as interpreted in accordance with the</w:t>
      </w:r>
      <w:r w:rsidR="00E80641" w:rsidRPr="009069D3">
        <w:rPr>
          <w:rFonts w:ascii="Times-Roman" w:hAnsi="Times-Roman" w:cs="Times-Roman" w:hint="eastAsia"/>
          <w:b/>
          <w:kern w:val="0"/>
          <w:sz w:val="21"/>
          <w:szCs w:val="21"/>
        </w:rPr>
        <w:t xml:space="preserve"> </w:t>
      </w:r>
      <w:r w:rsidR="00E80641" w:rsidRPr="009069D3">
        <w:rPr>
          <w:rFonts w:ascii="Times-Roman" w:hAnsi="Times-Roman" w:cs="Times-Roman"/>
          <w:b/>
          <w:kern w:val="0"/>
          <w:sz w:val="21"/>
          <w:szCs w:val="21"/>
        </w:rPr>
        <w:t xml:space="preserve">U.S. Internal Revenue code. </w:t>
      </w:r>
      <w:r>
        <w:rPr>
          <w:rFonts w:ascii="Times-Roman" w:hAnsi="Times-Roman" w:cs="Times-Roman" w:hint="eastAsia"/>
          <w:b/>
          <w:kern w:val="0"/>
          <w:sz w:val="21"/>
          <w:szCs w:val="21"/>
        </w:rPr>
        <w:t>1/</w:t>
      </w:r>
      <w:proofErr w:type="gramStart"/>
      <w:r w:rsidR="00E80641" w:rsidRPr="009069D3">
        <w:rPr>
          <w:rFonts w:ascii="Times-Roman" w:hAnsi="Times-Roman" w:cs="Times-Roman"/>
          <w:b/>
          <w:kern w:val="0"/>
          <w:sz w:val="21"/>
          <w:szCs w:val="21"/>
        </w:rPr>
        <w:t>We</w:t>
      </w:r>
      <w:proofErr w:type="gramEnd"/>
      <w:r w:rsidR="00E80641" w:rsidRPr="009069D3">
        <w:rPr>
          <w:rFonts w:ascii="Times-Roman" w:hAnsi="Times-Roman" w:cs="Times-Roman"/>
          <w:b/>
          <w:kern w:val="0"/>
          <w:sz w:val="21"/>
          <w:szCs w:val="21"/>
        </w:rPr>
        <w:t xml:space="preserve"> agree that we will notify the Company immediately if we become a</w:t>
      </w:r>
      <w:r w:rsidR="00E80641" w:rsidRPr="009069D3">
        <w:rPr>
          <w:rFonts w:ascii="Times-Roman" w:hAnsi="Times-Roman" w:cs="Times-Roman" w:hint="eastAsia"/>
          <w:b/>
          <w:kern w:val="0"/>
          <w:sz w:val="21"/>
          <w:szCs w:val="21"/>
        </w:rPr>
        <w:t xml:space="preserve"> </w:t>
      </w:r>
      <w:r w:rsidR="00E80641" w:rsidRPr="009069D3">
        <w:rPr>
          <w:rFonts w:ascii="Times-Roman" w:hAnsi="Times-Roman" w:cs="Times-Roman"/>
          <w:b/>
          <w:kern w:val="0"/>
          <w:sz w:val="21"/>
          <w:szCs w:val="21"/>
        </w:rPr>
        <w:t>U.S. person or are no longer a Non-US person.</w:t>
      </w:r>
    </w:p>
    <w:p w:rsidR="00E80641" w:rsidRDefault="00E80641" w:rsidP="00E20251">
      <w:pPr>
        <w:widowControl/>
        <w:autoSpaceDE w:val="0"/>
        <w:autoSpaceDN w:val="0"/>
        <w:adjustRightInd w:val="0"/>
        <w:jc w:val="both"/>
        <w:rPr>
          <w:rFonts w:ascii="Times-Roman" w:hAnsi="Times-Roman" w:cs="Times-Roman"/>
          <w:kern w:val="0"/>
          <w:sz w:val="21"/>
          <w:szCs w:val="21"/>
        </w:rPr>
      </w:pPr>
    </w:p>
    <w:p w:rsidR="00E80641" w:rsidRDefault="00E80641" w:rsidP="00E20251">
      <w:pPr>
        <w:jc w:val="both"/>
        <w:rPr>
          <w:rFonts w:ascii="Times-Roman" w:hAnsi="Times-Roman" w:cs="Times-Roman"/>
          <w:kern w:val="0"/>
          <w:sz w:val="15"/>
          <w:szCs w:val="15"/>
        </w:rPr>
      </w:pPr>
    </w:p>
    <w:p w:rsidR="00E80641" w:rsidRDefault="00E80641" w:rsidP="00E20251">
      <w:pPr>
        <w:jc w:val="both"/>
        <w:rPr>
          <w:rFonts w:ascii="Times-Roman" w:hAnsi="Times-Roman" w:cs="Times-Roman"/>
          <w:kern w:val="0"/>
          <w:sz w:val="15"/>
          <w:szCs w:val="15"/>
        </w:rPr>
      </w:pPr>
    </w:p>
    <w:p w:rsidR="00E80641" w:rsidRDefault="00E8064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Default="00641FE1" w:rsidP="00E20251">
      <w:pPr>
        <w:jc w:val="both"/>
        <w:rPr>
          <w:rFonts w:ascii="Times-Roman" w:hAnsi="Times-Roman" w:cs="Times-Roman"/>
          <w:kern w:val="0"/>
          <w:sz w:val="15"/>
          <w:szCs w:val="15"/>
        </w:rPr>
      </w:pPr>
    </w:p>
    <w:p w:rsidR="00641FE1" w:rsidRPr="003D1563" w:rsidRDefault="003D1563" w:rsidP="009069D3">
      <w:pPr>
        <w:rPr>
          <w:rStyle w:val="shorttext"/>
          <w:rFonts w:ascii="新細明體" w:eastAsia="新細明體" w:hAnsi="新細明體" w:cs="新細明體"/>
          <w:b/>
          <w:color w:val="222222"/>
        </w:rPr>
      </w:pPr>
      <w:r w:rsidRPr="003D1563">
        <w:rPr>
          <w:rStyle w:val="shorttext"/>
          <w:rFonts w:ascii="新細明體" w:eastAsia="新細明體" w:hAnsi="新細明體" w:cs="新細明體" w:hint="eastAsia"/>
          <w:b/>
          <w:color w:val="222222"/>
        </w:rPr>
        <w:t>萬贏資本有限公司</w:t>
      </w:r>
      <w:r w:rsidRPr="003D1563">
        <w:rPr>
          <w:rStyle w:val="shorttext"/>
          <w:rFonts w:ascii="Arial" w:hAnsi="Arial" w:cs="Arial"/>
          <w:b/>
          <w:color w:val="222222"/>
        </w:rPr>
        <w:t xml:space="preserve">- </w:t>
      </w:r>
      <w:r w:rsidR="009069D3">
        <w:rPr>
          <w:rStyle w:val="shorttext"/>
          <w:rFonts w:ascii="新細明體" w:eastAsia="新細明體" w:hAnsi="新細明體" w:cs="新細明體" w:hint="eastAsia"/>
          <w:b/>
          <w:color w:val="222222"/>
        </w:rPr>
        <w:t>美國人士股票</w:t>
      </w:r>
      <w:r w:rsidR="00BC002F">
        <w:rPr>
          <w:rStyle w:val="shorttext"/>
          <w:rFonts w:ascii="新細明體" w:eastAsia="新細明體" w:hAnsi="新細明體" w:cs="新細明體" w:hint="eastAsia"/>
          <w:b/>
          <w:color w:val="222222"/>
        </w:rPr>
        <w:t>交易</w:t>
      </w:r>
      <w:r w:rsidRPr="003D1563">
        <w:rPr>
          <w:rStyle w:val="shorttext"/>
          <w:rFonts w:ascii="新細明體" w:eastAsia="新細明體" w:hAnsi="新細明體" w:cs="新細明體" w:hint="eastAsia"/>
          <w:b/>
          <w:color w:val="222222"/>
        </w:rPr>
        <w:t>政策</w:t>
      </w:r>
    </w:p>
    <w:p w:rsidR="003D1563" w:rsidRDefault="003D1563" w:rsidP="003D1563">
      <w:pPr>
        <w:jc w:val="center"/>
      </w:pPr>
    </w:p>
    <w:p w:rsidR="00641FE1" w:rsidRPr="009069D3" w:rsidRDefault="003D1563" w:rsidP="00641FE1">
      <w:pPr>
        <w:rPr>
          <w:rFonts w:ascii="新細明體" w:eastAsia="新細明體" w:hAnsi="新細明體" w:cs="新細明體"/>
          <w:color w:val="222222"/>
          <w:sz w:val="20"/>
          <w:szCs w:val="20"/>
        </w:rPr>
      </w:pPr>
      <w:r w:rsidRPr="009069D3">
        <w:rPr>
          <w:rFonts w:ascii="新細明體" w:eastAsia="新細明體" w:hAnsi="新細明體" w:cs="新細明體" w:hint="eastAsia"/>
          <w:color w:val="222222"/>
          <w:sz w:val="20"/>
          <w:szCs w:val="20"/>
        </w:rPr>
        <w:t>自</w:t>
      </w:r>
      <w:r w:rsidRPr="009069D3">
        <w:rPr>
          <w:rFonts w:ascii="Arial" w:hAnsi="Arial" w:cs="Arial"/>
          <w:color w:val="222222"/>
          <w:sz w:val="20"/>
          <w:szCs w:val="20"/>
        </w:rPr>
        <w:t>2013</w:t>
      </w:r>
      <w:r w:rsidRPr="009069D3">
        <w:rPr>
          <w:rFonts w:ascii="新細明體" w:eastAsia="新細明體" w:hAnsi="新細明體" w:cs="新細明體" w:hint="eastAsia"/>
          <w:color w:val="222222"/>
          <w:sz w:val="20"/>
          <w:szCs w:val="20"/>
        </w:rPr>
        <w:t>年</w:t>
      </w:r>
      <w:r w:rsidRPr="009069D3">
        <w:rPr>
          <w:rFonts w:ascii="Arial" w:hAnsi="Arial" w:cs="Arial"/>
          <w:color w:val="222222"/>
          <w:sz w:val="20"/>
          <w:szCs w:val="20"/>
        </w:rPr>
        <w:t>1</w:t>
      </w:r>
      <w:r w:rsidRPr="009069D3">
        <w:rPr>
          <w:rFonts w:ascii="新細明體" w:eastAsia="新細明體" w:hAnsi="新細明體" w:cs="新細明體" w:hint="eastAsia"/>
          <w:color w:val="222222"/>
          <w:sz w:val="20"/>
          <w:szCs w:val="20"/>
        </w:rPr>
        <w:t>月</w:t>
      </w:r>
      <w:r w:rsidRPr="009069D3">
        <w:rPr>
          <w:rFonts w:ascii="Arial" w:hAnsi="Arial" w:cs="Arial"/>
          <w:color w:val="222222"/>
          <w:sz w:val="20"/>
          <w:szCs w:val="20"/>
        </w:rPr>
        <w:t>1</w:t>
      </w:r>
      <w:r w:rsidRPr="009069D3">
        <w:rPr>
          <w:rFonts w:ascii="新細明體" w:eastAsia="新細明體" w:hAnsi="新細明體" w:cs="新細明體" w:hint="eastAsia"/>
          <w:color w:val="222222"/>
          <w:sz w:val="20"/>
          <w:szCs w:val="20"/>
        </w:rPr>
        <w:t>日起，所有美國人士都被嚴格禁止在萬贏資本有限公司（連同其子公司（即萬贏證券有限公司）及聯屬公司，統稱</w:t>
      </w:r>
      <w:r w:rsidRPr="009069D3">
        <w:rPr>
          <w:rFonts w:ascii="Arial" w:hAnsi="Arial" w:cs="Arial"/>
          <w:color w:val="222222"/>
          <w:sz w:val="20"/>
          <w:szCs w:val="20"/>
        </w:rPr>
        <w:t>“</w:t>
      </w:r>
      <w:r w:rsidRPr="009069D3">
        <w:rPr>
          <w:rFonts w:ascii="新細明體" w:eastAsia="新細明體" w:hAnsi="新細明體" w:cs="新細明體" w:hint="eastAsia"/>
          <w:color w:val="222222"/>
          <w:sz w:val="20"/>
          <w:szCs w:val="20"/>
        </w:rPr>
        <w:t>萬贏集團</w:t>
      </w:r>
      <w:r w:rsidRPr="009069D3">
        <w:rPr>
          <w:rFonts w:ascii="Arial" w:hAnsi="Arial" w:cs="Arial"/>
          <w:color w:val="222222"/>
          <w:sz w:val="20"/>
          <w:szCs w:val="20"/>
        </w:rPr>
        <w:t>”</w:t>
      </w:r>
      <w:r w:rsidRPr="009069D3">
        <w:rPr>
          <w:rFonts w:ascii="新細明體" w:eastAsia="新細明體" w:hAnsi="新細明體" w:cs="新細明體" w:hint="eastAsia"/>
          <w:color w:val="222222"/>
          <w:sz w:val="20"/>
          <w:szCs w:val="20"/>
        </w:rPr>
        <w:t>）開立或維</w:t>
      </w:r>
      <w:r w:rsidRPr="009069D3">
        <w:rPr>
          <w:rFonts w:ascii="Arial" w:hAnsi="Arial" w:cs="Arial"/>
          <w:color w:val="222222"/>
          <w:sz w:val="20"/>
          <w:szCs w:val="20"/>
        </w:rPr>
        <w:t>持賬戶</w:t>
      </w:r>
      <w:r w:rsidRPr="009069D3">
        <w:rPr>
          <w:rFonts w:ascii="新細明體" w:eastAsia="新細明體" w:hAnsi="新細明體" w:cs="新細明體" w:hint="eastAsia"/>
          <w:color w:val="222222"/>
          <w:sz w:val="20"/>
          <w:szCs w:val="20"/>
        </w:rPr>
        <w:t>。</w:t>
      </w:r>
    </w:p>
    <w:p w:rsidR="0052293F" w:rsidRDefault="0052293F" w:rsidP="00641FE1">
      <w:pPr>
        <w:rPr>
          <w:rFonts w:ascii="SimSun" w:hAnsi="SimSun"/>
          <w:sz w:val="20"/>
          <w:szCs w:val="20"/>
        </w:rPr>
      </w:pPr>
    </w:p>
    <w:p w:rsidR="0052293F" w:rsidRDefault="0052293F" w:rsidP="00641FE1">
      <w:pPr>
        <w:rPr>
          <w:rFonts w:ascii="新細明體" w:eastAsia="新細明體" w:hAnsi="新細明體" w:cs="新細明體"/>
          <w:color w:val="222222"/>
          <w:kern w:val="0"/>
          <w:sz w:val="20"/>
          <w:szCs w:val="20"/>
        </w:rPr>
      </w:pPr>
      <w:r w:rsidRPr="003D1563">
        <w:rPr>
          <w:rFonts w:ascii="新細明體" w:eastAsia="新細明體" w:hAnsi="新細明體" w:cs="新細明體" w:hint="eastAsia"/>
          <w:color w:val="222222"/>
          <w:kern w:val="0"/>
          <w:sz w:val="20"/>
          <w:szCs w:val="20"/>
        </w:rPr>
        <w:t>萬贏集團可能審查所有新設和現有的客戶賬戶，以尋找個人可能被視為美國</w:t>
      </w:r>
      <w:r>
        <w:rPr>
          <w:rFonts w:ascii="新細明體" w:eastAsia="新細明體" w:hAnsi="新細明體" w:cs="新細明體" w:hint="eastAsia"/>
          <w:color w:val="222222"/>
          <w:kern w:val="0"/>
          <w:sz w:val="20"/>
          <w:szCs w:val="20"/>
        </w:rPr>
        <w:t>人士的任何情況。</w:t>
      </w:r>
    </w:p>
    <w:p w:rsidR="0052293F" w:rsidRDefault="0052293F" w:rsidP="00641FE1">
      <w:pPr>
        <w:rPr>
          <w:rFonts w:ascii="新細明體" w:eastAsia="新細明體" w:hAnsi="新細明體" w:cs="新細明體"/>
          <w:color w:val="222222"/>
          <w:kern w:val="0"/>
          <w:sz w:val="20"/>
          <w:szCs w:val="20"/>
        </w:rPr>
      </w:pPr>
      <w:r>
        <w:rPr>
          <w:rFonts w:ascii="新細明體" w:eastAsia="新細明體" w:hAnsi="新細明體" w:cs="新細明體" w:hint="eastAsia"/>
          <w:color w:val="222222"/>
          <w:kern w:val="0"/>
          <w:sz w:val="20"/>
          <w:szCs w:val="20"/>
        </w:rPr>
        <w:t>萬贏集團可能要求新的或現有客戶通過提供額外文件，</w:t>
      </w:r>
      <w:r w:rsidRPr="003D1563">
        <w:rPr>
          <w:rFonts w:ascii="新細明體" w:eastAsia="新細明體" w:hAnsi="新細明體" w:cs="新細明體" w:hint="eastAsia"/>
          <w:color w:val="222222"/>
          <w:kern w:val="0"/>
          <w:sz w:val="20"/>
          <w:szCs w:val="20"/>
        </w:rPr>
        <w:t>由客戶提供的所有</w:t>
      </w:r>
      <w:r>
        <w:rPr>
          <w:rFonts w:ascii="新細明體" w:eastAsia="新細明體" w:hAnsi="新細明體" w:cs="新細明體" w:hint="eastAsia"/>
          <w:color w:val="222222"/>
          <w:kern w:val="0"/>
          <w:sz w:val="20"/>
          <w:szCs w:val="20"/>
        </w:rPr>
        <w:t>資料</w:t>
      </w:r>
      <w:r w:rsidRPr="003D1563">
        <w:rPr>
          <w:rFonts w:ascii="新細明體" w:eastAsia="新細明體" w:hAnsi="新細明體" w:cs="新細明體" w:hint="eastAsia"/>
          <w:color w:val="222222"/>
          <w:kern w:val="0"/>
          <w:sz w:val="20"/>
          <w:szCs w:val="20"/>
        </w:rPr>
        <w:t>於下文稱為</w:t>
      </w:r>
      <w:r>
        <w:rPr>
          <w:rFonts w:ascii="新細明體" w:eastAsia="新細明體" w:hAnsi="新細明體" w:cs="新細明體" w:hint="eastAsia"/>
          <w:color w:val="222222"/>
          <w:kern w:val="0"/>
          <w:sz w:val="20"/>
          <w:szCs w:val="20"/>
        </w:rPr>
        <w:t>(有關</w:t>
      </w:r>
    </w:p>
    <w:p w:rsidR="0052293F" w:rsidRPr="0052293F" w:rsidRDefault="0052293F" w:rsidP="00641FE1">
      <w:pPr>
        <w:rPr>
          <w:rFonts w:ascii="SimSun" w:hAnsi="SimSun"/>
          <w:sz w:val="20"/>
          <w:szCs w:val="20"/>
        </w:rPr>
      </w:pPr>
      <w:r w:rsidRPr="003D1563">
        <w:rPr>
          <w:rFonts w:ascii="Arial" w:eastAsia="Times New Roman" w:hAnsi="Arial" w:cs="Arial"/>
          <w:color w:val="222222"/>
          <w:kern w:val="0"/>
          <w:sz w:val="20"/>
          <w:szCs w:val="20"/>
        </w:rPr>
        <w:t>“</w:t>
      </w:r>
      <w:r>
        <w:rPr>
          <w:rFonts w:ascii="新細明體" w:eastAsia="新細明體" w:hAnsi="新細明體" w:cs="新細明體" w:hint="eastAsia"/>
          <w:color w:val="222222"/>
          <w:kern w:val="0"/>
          <w:sz w:val="20"/>
          <w:szCs w:val="20"/>
        </w:rPr>
        <w:t>資料</w:t>
      </w:r>
      <w:r w:rsidRPr="003D1563">
        <w:rPr>
          <w:rFonts w:ascii="Arial" w:eastAsia="Times New Roman" w:hAnsi="Arial" w:cs="Arial"/>
          <w:color w:val="222222"/>
          <w:kern w:val="0"/>
          <w:sz w:val="20"/>
          <w:szCs w:val="20"/>
        </w:rPr>
        <w:t>”</w:t>
      </w:r>
      <w:r w:rsidRPr="003D1563">
        <w:rPr>
          <w:rFonts w:ascii="新細明體" w:eastAsia="新細明體" w:hAnsi="新細明體" w:cs="新細明體" w:hint="eastAsia"/>
          <w:color w:val="222222"/>
          <w:kern w:val="0"/>
          <w:sz w:val="20"/>
          <w:szCs w:val="20"/>
        </w:rPr>
        <w:t>）</w:t>
      </w:r>
      <w:r>
        <w:rPr>
          <w:rFonts w:ascii="新細明體" w:eastAsia="新細明體" w:hAnsi="新細明體" w:cs="新細明體" w:hint="eastAsia"/>
          <w:color w:val="222222"/>
          <w:kern w:val="0"/>
          <w:sz w:val="20"/>
          <w:szCs w:val="20"/>
        </w:rPr>
        <w:t>，</w:t>
      </w:r>
      <w:r w:rsidRPr="003D1563">
        <w:rPr>
          <w:rFonts w:ascii="新細明體" w:eastAsia="新細明體" w:hAnsi="新細明體" w:cs="新細明體" w:hint="eastAsia"/>
          <w:color w:val="222222"/>
          <w:kern w:val="0"/>
          <w:sz w:val="20"/>
          <w:szCs w:val="20"/>
        </w:rPr>
        <w:t>自行證明他們並非美國人士</w:t>
      </w:r>
      <w:r w:rsidRPr="003D1563">
        <w:rPr>
          <w:rFonts w:ascii="新細明體" w:eastAsia="新細明體" w:hAnsi="新細明體" w:cs="新細明體"/>
          <w:color w:val="222222"/>
          <w:kern w:val="0"/>
          <w:sz w:val="20"/>
          <w:szCs w:val="20"/>
        </w:rPr>
        <w:t>。</w:t>
      </w:r>
    </w:p>
    <w:p w:rsidR="003D1563" w:rsidRPr="003D1563" w:rsidRDefault="003D1563" w:rsidP="003D1563">
      <w:pPr>
        <w:widowControl/>
        <w:shd w:val="clear" w:color="auto" w:fill="FFFFFF"/>
        <w:spacing w:line="360" w:lineRule="atLeast"/>
        <w:textAlignment w:val="top"/>
        <w:rPr>
          <w:rFonts w:ascii="Arial" w:eastAsia="Times New Roman" w:hAnsi="Arial" w:cs="Arial"/>
          <w:vanish/>
          <w:color w:val="777777"/>
          <w:kern w:val="0"/>
          <w:sz w:val="20"/>
          <w:szCs w:val="20"/>
        </w:rPr>
      </w:pPr>
      <w:r w:rsidRPr="003D1563">
        <w:rPr>
          <w:rFonts w:ascii="Arial" w:eastAsia="Times New Roman" w:hAnsi="Arial" w:cs="Arial"/>
          <w:vanish/>
          <w:color w:val="777777"/>
          <w:kern w:val="0"/>
          <w:sz w:val="20"/>
          <w:szCs w:val="20"/>
        </w:rPr>
        <w:t>Wàn yíng jítuán kěnéng shěnchá suǒyǒu xīn shè hé xiàn yǒu de kèhù zhànghù, yǐ xúnzhǎo gèrén kěnéng bèi shì wéi měiguó rénshì dì rènhé qíngkuàng. Wàn yíng jítuán kěnéng yāoqiú xīn de huò xiàn yǒu kèhù tōngguò tígōng éwài wénjiàn (yóu kèhù tígōng de suǒyǒu xìnxī yú xiàwén chēng wèi “xìnxī”) zìxíng zhèngmíng tāmen bìngfēi měiguó rénshì.</w:t>
      </w:r>
    </w:p>
    <w:p w:rsidR="0052293F" w:rsidRDefault="0052293F" w:rsidP="003D1563">
      <w:pPr>
        <w:rPr>
          <w:rStyle w:val="shorttext"/>
          <w:rFonts w:ascii="Arial" w:hAnsi="Arial" w:cs="Arial"/>
          <w:color w:val="222222"/>
          <w:sz w:val="20"/>
          <w:szCs w:val="20"/>
        </w:rPr>
      </w:pPr>
    </w:p>
    <w:p w:rsidR="00641FE1" w:rsidRPr="009069D3" w:rsidRDefault="003D1563" w:rsidP="003D1563">
      <w:pPr>
        <w:rPr>
          <w:rStyle w:val="shorttext"/>
          <w:rFonts w:ascii="Arial" w:hAnsi="Arial" w:cs="Arial"/>
          <w:color w:val="222222"/>
          <w:sz w:val="20"/>
          <w:szCs w:val="20"/>
        </w:rPr>
      </w:pPr>
      <w:r w:rsidRPr="009069D3">
        <w:rPr>
          <w:rStyle w:val="shorttext"/>
          <w:rFonts w:ascii="Arial" w:hAnsi="Arial" w:cs="Arial"/>
          <w:color w:val="222222"/>
          <w:sz w:val="20"/>
          <w:szCs w:val="20"/>
        </w:rPr>
        <w:t>“</w:t>
      </w:r>
      <w:r w:rsidRPr="009069D3">
        <w:rPr>
          <w:rStyle w:val="shorttext"/>
          <w:rFonts w:ascii="新細明體" w:eastAsia="新細明體" w:hAnsi="新細明體" w:cs="新細明體" w:hint="eastAsia"/>
          <w:color w:val="222222"/>
          <w:sz w:val="20"/>
          <w:szCs w:val="20"/>
        </w:rPr>
        <w:t>美國人士</w:t>
      </w:r>
      <w:r w:rsidRPr="009069D3">
        <w:rPr>
          <w:rStyle w:val="shorttext"/>
          <w:rFonts w:ascii="Arial" w:hAnsi="Arial" w:cs="Arial"/>
          <w:color w:val="222222"/>
          <w:sz w:val="20"/>
          <w:szCs w:val="20"/>
        </w:rPr>
        <w:t>”</w:t>
      </w:r>
      <w:r w:rsidRPr="009069D3">
        <w:rPr>
          <w:rStyle w:val="shorttext"/>
          <w:rFonts w:ascii="新細明體" w:eastAsia="新細明體" w:hAnsi="新細明體" w:cs="新細明體" w:hint="eastAsia"/>
          <w:color w:val="222222"/>
          <w:sz w:val="20"/>
          <w:szCs w:val="20"/>
        </w:rPr>
        <w:t>一詞指</w:t>
      </w:r>
      <w:r w:rsidRPr="009069D3">
        <w:rPr>
          <w:rStyle w:val="shorttext"/>
          <w:rFonts w:ascii="Arial" w:hAnsi="Arial" w:cs="Arial"/>
          <w:color w:val="222222"/>
          <w:sz w:val="20"/>
          <w:szCs w:val="20"/>
        </w:rPr>
        <w:t>:</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美國公民（包括出生在美國但居住在其他國家的個人）；</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美國合法居民（包括美國綠卡持有人）；</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居住在美國的人士或一年中有大量時間在美國的人士；</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美國合夥企業；</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美國公司；</w:t>
      </w:r>
    </w:p>
    <w:p w:rsidR="003D1563"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已故美國公民或居民的遺產；及</w:t>
      </w:r>
    </w:p>
    <w:p w:rsidR="00641FE1" w:rsidRPr="009069D3" w:rsidRDefault="003D1563" w:rsidP="003D1563">
      <w:pPr>
        <w:pStyle w:val="ListParagraph"/>
        <w:numPr>
          <w:ilvl w:val="0"/>
          <w:numId w:val="8"/>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信託</w:t>
      </w:r>
      <w:r w:rsidR="00EC2978">
        <w:rPr>
          <w:rFonts w:ascii="Arial" w:hAnsi="Arial" w:cs="Arial" w:hint="eastAsia"/>
          <w:color w:val="222222"/>
          <w:sz w:val="20"/>
          <w:szCs w:val="20"/>
        </w:rPr>
        <w:t>：</w:t>
      </w:r>
      <w:r w:rsidRPr="009069D3">
        <w:rPr>
          <w:rFonts w:ascii="Arial" w:hAnsi="Arial" w:cs="Arial"/>
          <w:color w:val="222222"/>
          <w:sz w:val="20"/>
          <w:szCs w:val="20"/>
        </w:rPr>
        <w:t>條件是美國法院根據適用法律有權對有關信託的行政管理的幾乎所有問題作出裁定或判決，而一名或多名美國人士有權控制信託的所有重大決定</w:t>
      </w:r>
      <w:r w:rsidRPr="009069D3">
        <w:rPr>
          <w:rFonts w:ascii="新細明體" w:eastAsia="新細明體" w:hAnsi="新細明體" w:cs="新細明體" w:hint="eastAsia"/>
          <w:color w:val="222222"/>
          <w:sz w:val="20"/>
          <w:szCs w:val="20"/>
        </w:rPr>
        <w:t>。</w:t>
      </w:r>
    </w:p>
    <w:p w:rsidR="003D1563" w:rsidRPr="009069D3" w:rsidRDefault="003D1563" w:rsidP="00641FE1">
      <w:pPr>
        <w:pStyle w:val="ListParagraph"/>
        <w:tabs>
          <w:tab w:val="left" w:pos="993"/>
        </w:tabs>
        <w:ind w:left="840" w:rightChars="50" w:right="120"/>
        <w:rPr>
          <w:rFonts w:ascii="SimSun" w:eastAsia="SimSun" w:hAnsi="SimSun"/>
          <w:sz w:val="20"/>
          <w:szCs w:val="20"/>
        </w:rPr>
      </w:pPr>
    </w:p>
    <w:p w:rsidR="003D1563" w:rsidRPr="009069D3" w:rsidRDefault="003D1563" w:rsidP="003D1563">
      <w:pPr>
        <w:pStyle w:val="ListParagraph"/>
        <w:numPr>
          <w:ilvl w:val="0"/>
          <w:numId w:val="9"/>
        </w:numPr>
        <w:tabs>
          <w:tab w:val="left" w:pos="993"/>
        </w:tabs>
        <w:ind w:rightChars="50" w:right="120"/>
        <w:rPr>
          <w:rFonts w:ascii="新細明體" w:eastAsia="新細明體" w:hAnsi="新細明體" w:cs="新細明體"/>
          <w:color w:val="222222"/>
          <w:sz w:val="20"/>
          <w:szCs w:val="20"/>
        </w:rPr>
      </w:pPr>
      <w:r w:rsidRPr="009069D3">
        <w:rPr>
          <w:rFonts w:ascii="新細明體" w:eastAsia="新細明體" w:hAnsi="新細明體" w:cs="新細明體" w:hint="eastAsia"/>
          <w:color w:val="222222"/>
          <w:sz w:val="20"/>
          <w:szCs w:val="20"/>
        </w:rPr>
        <w:t>賬戶包括</w:t>
      </w:r>
      <w:r w:rsidRPr="009069D3">
        <w:rPr>
          <w:rFonts w:ascii="Arial" w:hAnsi="Arial" w:cs="Arial"/>
          <w:color w:val="222222"/>
          <w:sz w:val="20"/>
          <w:szCs w:val="20"/>
        </w:rPr>
        <w:t>(</w:t>
      </w:r>
      <w:r w:rsidRPr="009069D3">
        <w:rPr>
          <w:rFonts w:ascii="新細明體" w:eastAsia="新細明體" w:hAnsi="新細明體" w:cs="新細明體" w:hint="eastAsia"/>
          <w:color w:val="222222"/>
          <w:sz w:val="20"/>
          <w:szCs w:val="20"/>
        </w:rPr>
        <w:t>但不限於）</w:t>
      </w:r>
      <w:r w:rsidRPr="009069D3">
        <w:rPr>
          <w:rFonts w:ascii="Arial" w:hAnsi="Arial" w:cs="Arial"/>
          <w:color w:val="222222"/>
          <w:sz w:val="20"/>
          <w:szCs w:val="20"/>
        </w:rPr>
        <w:t>:</w:t>
      </w:r>
    </w:p>
    <w:p w:rsidR="003D1563" w:rsidRPr="009069D3" w:rsidRDefault="003D1563" w:rsidP="003D1563">
      <w:pPr>
        <w:pStyle w:val="ListParagraph"/>
        <w:numPr>
          <w:ilvl w:val="0"/>
          <w:numId w:val="9"/>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萬贏集團維持的任何存託賬戶；</w:t>
      </w:r>
    </w:p>
    <w:p w:rsidR="003D1563" w:rsidRPr="009069D3" w:rsidRDefault="003D1563" w:rsidP="003D1563">
      <w:pPr>
        <w:pStyle w:val="ListParagraph"/>
        <w:numPr>
          <w:ilvl w:val="0"/>
          <w:numId w:val="9"/>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萬贏集團維持的任何託管賬戶；及</w:t>
      </w:r>
    </w:p>
    <w:p w:rsidR="00641FE1" w:rsidRPr="009069D3" w:rsidRDefault="003D1563" w:rsidP="003D1563">
      <w:pPr>
        <w:pStyle w:val="ListParagraph"/>
        <w:numPr>
          <w:ilvl w:val="0"/>
          <w:numId w:val="9"/>
        </w:numPr>
        <w:tabs>
          <w:tab w:val="left" w:pos="993"/>
        </w:tabs>
        <w:ind w:rightChars="50" w:right="120"/>
        <w:rPr>
          <w:rFonts w:ascii="新細明體" w:eastAsia="新細明體" w:hAnsi="新細明體" w:cs="新細明體"/>
          <w:color w:val="222222"/>
          <w:sz w:val="20"/>
          <w:szCs w:val="20"/>
        </w:rPr>
      </w:pPr>
      <w:r w:rsidRPr="009069D3">
        <w:rPr>
          <w:rFonts w:ascii="Arial" w:hAnsi="Arial" w:cs="Arial"/>
          <w:color w:val="222222"/>
          <w:sz w:val="20"/>
          <w:szCs w:val="20"/>
        </w:rPr>
        <w:t>於萬贏集團的任何股本或債務權益</w:t>
      </w:r>
      <w:r w:rsidRPr="009069D3">
        <w:rPr>
          <w:rFonts w:ascii="Arial" w:hAnsi="Arial" w:cs="Arial"/>
          <w:color w:val="222222"/>
          <w:sz w:val="20"/>
          <w:szCs w:val="20"/>
        </w:rPr>
        <w:t>(</w:t>
      </w:r>
      <w:r w:rsidRPr="009069D3">
        <w:rPr>
          <w:rFonts w:ascii="Arial" w:hAnsi="Arial" w:cs="Arial"/>
          <w:color w:val="222222"/>
          <w:sz w:val="20"/>
          <w:szCs w:val="20"/>
        </w:rPr>
        <w:t>可立即於成熟證券市場買賣的權益除外）</w:t>
      </w:r>
      <w:r w:rsidRPr="009069D3">
        <w:rPr>
          <w:rFonts w:ascii="新細明體" w:eastAsia="新細明體" w:hAnsi="新細明體" w:cs="新細明體" w:hint="eastAsia"/>
          <w:color w:val="222222"/>
          <w:sz w:val="20"/>
          <w:szCs w:val="20"/>
        </w:rPr>
        <w:t>。</w:t>
      </w:r>
    </w:p>
    <w:p w:rsidR="003D1563" w:rsidRDefault="003D1563" w:rsidP="003D1563">
      <w:pPr>
        <w:tabs>
          <w:tab w:val="left" w:pos="993"/>
        </w:tabs>
        <w:ind w:rightChars="50" w:right="120"/>
        <w:rPr>
          <w:rFonts w:ascii="SimSun" w:hAnsi="SimSun"/>
          <w:sz w:val="20"/>
          <w:szCs w:val="20"/>
        </w:rPr>
      </w:pPr>
    </w:p>
    <w:p w:rsidR="0052293F" w:rsidRPr="003E64C7" w:rsidRDefault="0052293F" w:rsidP="0052293F">
      <w:pPr>
        <w:tabs>
          <w:tab w:val="left" w:pos="993"/>
        </w:tabs>
        <w:ind w:rightChars="50" w:right="120"/>
        <w:jc w:val="both"/>
        <w:rPr>
          <w:rFonts w:ascii="新細明體" w:eastAsia="新細明體" w:hAnsi="新細明體" w:cs="新細明體"/>
          <w:b/>
          <w:color w:val="222222"/>
          <w:kern w:val="0"/>
          <w:sz w:val="20"/>
          <w:szCs w:val="20"/>
        </w:rPr>
      </w:pPr>
      <w:r w:rsidRPr="003E64C7">
        <w:rPr>
          <w:rFonts w:ascii="新細明體" w:eastAsia="新細明體" w:hAnsi="新細明體" w:cs="新細明體" w:hint="eastAsia"/>
          <w:b/>
          <w:color w:val="222222"/>
          <w:kern w:val="0"/>
          <w:sz w:val="20"/>
          <w:szCs w:val="20"/>
        </w:rPr>
        <w:t>萬贏集團深知，認為有關資料為其客戶具法律地位的準確陳述。並不會就有關資料的準確性、</w:t>
      </w:r>
    </w:p>
    <w:p w:rsidR="0052293F" w:rsidRPr="003E64C7" w:rsidRDefault="0052293F" w:rsidP="0052293F">
      <w:pPr>
        <w:tabs>
          <w:tab w:val="left" w:pos="993"/>
        </w:tabs>
        <w:ind w:rightChars="50" w:right="120"/>
        <w:jc w:val="both"/>
        <w:rPr>
          <w:rFonts w:ascii="新細明體" w:eastAsia="新細明體" w:hAnsi="新細明體" w:cs="新細明體"/>
          <w:b/>
          <w:color w:val="222222"/>
          <w:kern w:val="0"/>
          <w:sz w:val="20"/>
          <w:szCs w:val="20"/>
        </w:rPr>
      </w:pPr>
      <w:r w:rsidRPr="003E64C7">
        <w:rPr>
          <w:rFonts w:ascii="新細明體" w:eastAsia="新細明體" w:hAnsi="新細明體" w:cs="新細明體" w:hint="eastAsia"/>
          <w:b/>
          <w:color w:val="222222"/>
          <w:kern w:val="0"/>
          <w:sz w:val="20"/>
          <w:szCs w:val="20"/>
        </w:rPr>
        <w:t>充分性或完整性作出任何明示或暗示的聲明或保證。萬贏集團不會對有關資料負責，而彼等各</w:t>
      </w:r>
    </w:p>
    <w:p w:rsidR="0052293F" w:rsidRPr="003E64C7" w:rsidRDefault="0052293F" w:rsidP="0052293F">
      <w:pPr>
        <w:tabs>
          <w:tab w:val="left" w:pos="993"/>
        </w:tabs>
        <w:ind w:rightChars="50" w:right="120"/>
        <w:jc w:val="both"/>
        <w:rPr>
          <w:rFonts w:ascii="SimSun" w:hAnsi="SimSun"/>
          <w:b/>
          <w:sz w:val="20"/>
          <w:szCs w:val="20"/>
        </w:rPr>
      </w:pPr>
      <w:r w:rsidRPr="003E64C7">
        <w:rPr>
          <w:rFonts w:ascii="新細明體" w:eastAsia="新細明體" w:hAnsi="新細明體" w:cs="新細明體" w:hint="eastAsia"/>
          <w:b/>
          <w:color w:val="222222"/>
          <w:kern w:val="0"/>
          <w:sz w:val="20"/>
          <w:szCs w:val="20"/>
        </w:rPr>
        <w:t>自的股東、董事、高級職員和員工概不會就有關資料任何錯誤或遺漏承擔任何責任</w:t>
      </w:r>
      <w:r w:rsidRPr="003E64C7">
        <w:rPr>
          <w:rFonts w:ascii="新細明體" w:eastAsia="新細明體" w:hAnsi="新細明體" w:cs="新細明體"/>
          <w:b/>
          <w:color w:val="222222"/>
          <w:kern w:val="0"/>
          <w:sz w:val="20"/>
          <w:szCs w:val="20"/>
        </w:rPr>
        <w:t>。</w:t>
      </w:r>
    </w:p>
    <w:p w:rsidR="003D1563" w:rsidRPr="003D1563" w:rsidRDefault="003D1563" w:rsidP="003D1563">
      <w:pPr>
        <w:widowControl/>
        <w:shd w:val="clear" w:color="auto" w:fill="FFFFFF"/>
        <w:spacing w:line="360" w:lineRule="atLeast"/>
        <w:textAlignment w:val="top"/>
        <w:rPr>
          <w:rFonts w:ascii="Arial" w:eastAsia="Times New Roman" w:hAnsi="Arial" w:cs="Arial"/>
          <w:vanish/>
          <w:color w:val="777777"/>
          <w:kern w:val="0"/>
          <w:sz w:val="20"/>
          <w:szCs w:val="20"/>
        </w:rPr>
      </w:pPr>
      <w:r w:rsidRPr="003D1563">
        <w:rPr>
          <w:rFonts w:ascii="Arial" w:eastAsia="Times New Roman" w:hAnsi="Arial" w:cs="Arial"/>
          <w:vanish/>
          <w:color w:val="777777"/>
          <w:kern w:val="0"/>
          <w:sz w:val="20"/>
          <w:szCs w:val="20"/>
        </w:rPr>
        <w:t>Jù wàn yíng jítuán suǒ shēn zhī, wàn yíng jítuán rènwéi xìnxī wéi qí kèhù fǎlǜ dìwèi de zhǔnquè chénshù. Bìng wú jiù xìnxī de zhǔnquè xìng, chōngfèn xìng huò wánzhěng xìng zuòchū rènhé míngshì huò ànshì de shēngmíng huò bǎozhèng. Wàn yíng jítuán bù huì duì xìnxī fùzé, ér bǐ děng gèzì de gǔdōng, dǒngshì, gāojí zhíyuán hé yuángōng gài bù huì jiù yǔ xìnxī yǒuguān de rènhé cuòwù huò yílòu chéngdān rènhé zérèn.</w:t>
      </w:r>
    </w:p>
    <w:p w:rsidR="00D81677" w:rsidRPr="003D1563" w:rsidRDefault="00D81677" w:rsidP="00641FE1">
      <w:pPr>
        <w:ind w:hanging="284"/>
        <w:rPr>
          <w:rFonts w:ascii="SimSun" w:hAnsi="SimSun"/>
          <w:szCs w:val="24"/>
        </w:rPr>
      </w:pPr>
    </w:p>
    <w:p w:rsidR="00D81677" w:rsidRPr="001439DF" w:rsidRDefault="00D81677" w:rsidP="00641FE1">
      <w:pPr>
        <w:ind w:hanging="284"/>
        <w:rPr>
          <w:rFonts w:ascii="SimSun" w:hAnsi="SimSun"/>
          <w:szCs w:val="24"/>
        </w:rPr>
      </w:pPr>
    </w:p>
    <w:p w:rsidR="00D81677" w:rsidRDefault="00D81677" w:rsidP="00641FE1">
      <w:pPr>
        <w:ind w:hanging="284"/>
        <w:rPr>
          <w:rFonts w:ascii="SimSun" w:hAnsi="SimSun"/>
          <w:szCs w:val="24"/>
        </w:rPr>
      </w:pPr>
    </w:p>
    <w:p w:rsidR="003D1563" w:rsidRDefault="003D1563" w:rsidP="003D1563">
      <w:pPr>
        <w:tabs>
          <w:tab w:val="left" w:pos="567"/>
        </w:tabs>
        <w:ind w:right="-574"/>
        <w:rPr>
          <w:rFonts w:ascii="新細明體" w:eastAsia="新細明體" w:hAnsi="新細明體" w:cs="新細明體"/>
          <w:color w:val="222222"/>
        </w:rPr>
      </w:pPr>
    </w:p>
    <w:p w:rsidR="009069D3" w:rsidRDefault="009069D3" w:rsidP="003D1563">
      <w:pPr>
        <w:tabs>
          <w:tab w:val="left" w:pos="567"/>
        </w:tabs>
        <w:ind w:right="-574"/>
        <w:rPr>
          <w:rFonts w:ascii="新細明體" w:eastAsia="新細明體" w:hAnsi="新細明體" w:cs="新細明體"/>
          <w:b/>
          <w:color w:val="222222"/>
        </w:rPr>
      </w:pPr>
    </w:p>
    <w:p w:rsidR="009069D3" w:rsidRDefault="009069D3" w:rsidP="003D1563">
      <w:pPr>
        <w:tabs>
          <w:tab w:val="left" w:pos="567"/>
        </w:tabs>
        <w:ind w:right="-574"/>
        <w:rPr>
          <w:rFonts w:ascii="新細明體" w:eastAsia="新細明體" w:hAnsi="新細明體" w:cs="新細明體"/>
          <w:b/>
          <w:color w:val="222222"/>
        </w:rPr>
      </w:pPr>
    </w:p>
    <w:p w:rsidR="00790364" w:rsidRDefault="00790364" w:rsidP="003D1563">
      <w:pPr>
        <w:tabs>
          <w:tab w:val="left" w:pos="567"/>
        </w:tabs>
        <w:ind w:right="-574"/>
        <w:rPr>
          <w:rFonts w:ascii="新細明體" w:eastAsia="新細明體" w:hAnsi="新細明體" w:cs="新細明體"/>
          <w:b/>
          <w:color w:val="222222"/>
        </w:rPr>
      </w:pPr>
    </w:p>
    <w:p w:rsidR="00790364" w:rsidRDefault="00790364" w:rsidP="003D1563">
      <w:pPr>
        <w:tabs>
          <w:tab w:val="left" w:pos="567"/>
        </w:tabs>
        <w:ind w:right="-574"/>
        <w:rPr>
          <w:rFonts w:ascii="新細明體" w:eastAsia="新細明體" w:hAnsi="新細明體" w:cs="新細明體"/>
          <w:b/>
          <w:color w:val="222222"/>
        </w:rPr>
      </w:pPr>
    </w:p>
    <w:p w:rsidR="00790364" w:rsidRDefault="00790364" w:rsidP="003D1563">
      <w:pPr>
        <w:tabs>
          <w:tab w:val="left" w:pos="567"/>
        </w:tabs>
        <w:ind w:right="-574"/>
        <w:rPr>
          <w:rFonts w:ascii="新細明體" w:eastAsia="新細明體" w:hAnsi="新細明體" w:cs="新細明體"/>
          <w:b/>
          <w:color w:val="222222"/>
        </w:rPr>
      </w:pPr>
    </w:p>
    <w:p w:rsidR="00790364" w:rsidRDefault="00790364" w:rsidP="003D1563">
      <w:pPr>
        <w:tabs>
          <w:tab w:val="left" w:pos="567"/>
        </w:tabs>
        <w:ind w:right="-574"/>
        <w:rPr>
          <w:rFonts w:ascii="新細明體" w:eastAsia="新細明體" w:hAnsi="新細明體" w:cs="新細明體"/>
          <w:b/>
          <w:color w:val="222222"/>
        </w:rPr>
      </w:pPr>
    </w:p>
    <w:p w:rsidR="009069D3" w:rsidRDefault="009069D3" w:rsidP="003D1563">
      <w:pPr>
        <w:tabs>
          <w:tab w:val="left" w:pos="567"/>
        </w:tabs>
        <w:ind w:right="-574"/>
        <w:rPr>
          <w:rFonts w:ascii="新細明體" w:eastAsia="新細明體" w:hAnsi="新細明體" w:cs="新細明體"/>
          <w:b/>
          <w:color w:val="222222"/>
        </w:rPr>
      </w:pPr>
    </w:p>
    <w:p w:rsidR="003D1563" w:rsidRPr="003D1563" w:rsidRDefault="003D1563" w:rsidP="003D1563">
      <w:pPr>
        <w:tabs>
          <w:tab w:val="left" w:pos="567"/>
        </w:tabs>
        <w:ind w:right="-574"/>
        <w:rPr>
          <w:rFonts w:ascii="Arial" w:hAnsi="Arial" w:cs="Arial"/>
          <w:b/>
          <w:color w:val="222222"/>
        </w:rPr>
      </w:pPr>
      <w:r w:rsidRPr="003D1563">
        <w:rPr>
          <w:rFonts w:ascii="新細明體" w:eastAsia="新細明體" w:hAnsi="新細明體" w:cs="新細明體" w:hint="eastAsia"/>
          <w:b/>
          <w:color w:val="222222"/>
        </w:rPr>
        <w:t>本人聲明及保證：</w:t>
      </w:r>
      <w:r w:rsidRPr="003D1563">
        <w:rPr>
          <w:rFonts w:ascii="Arial" w:hAnsi="Arial" w:cs="Arial"/>
          <w:b/>
          <w:color w:val="222222"/>
        </w:rPr>
        <w:br/>
      </w:r>
    </w:p>
    <w:p w:rsidR="00641FE1" w:rsidRPr="009069D3" w:rsidRDefault="009069D3" w:rsidP="003D1563">
      <w:pPr>
        <w:tabs>
          <w:tab w:val="left" w:pos="567"/>
        </w:tabs>
        <w:ind w:right="-574"/>
        <w:rPr>
          <w:rFonts w:ascii="SimSun" w:eastAsia="SimSun" w:hAnsi="SimSun"/>
          <w:sz w:val="20"/>
          <w:szCs w:val="20"/>
        </w:rPr>
      </w:pP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不是美國公民</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不是美國居民</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不持有美國永久居民卡</w:t>
      </w:r>
      <w:r w:rsidR="003D1563" w:rsidRPr="009069D3">
        <w:rPr>
          <w:rFonts w:ascii="Arial" w:hAnsi="Arial" w:cs="Arial"/>
          <w:color w:val="222222"/>
          <w:sz w:val="20"/>
          <w:szCs w:val="20"/>
        </w:rPr>
        <w:t xml:space="preserve"> (</w:t>
      </w:r>
      <w:r w:rsidR="003D1563" w:rsidRPr="009069D3">
        <w:rPr>
          <w:rFonts w:ascii="Arial" w:hAnsi="Arial" w:cs="Arial"/>
          <w:color w:val="222222"/>
          <w:sz w:val="20"/>
          <w:szCs w:val="20"/>
        </w:rPr>
        <w:t>綠卡）</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並非出生於美國（出生地為美國）</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沒有向擁有美國地址的人士授予授權委託書或簽署授權</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沒有定期收到來自美國地址有關向美國賬戶轉入資金的指示或指令</w:t>
      </w:r>
      <w:r>
        <w:rPr>
          <w:rFonts w:ascii="Arial" w:hAnsi="Arial" w:cs="Arial" w:hint="eastAsia"/>
          <w:color w:val="222222"/>
          <w:sz w:val="20"/>
          <w:szCs w:val="20"/>
        </w:rPr>
        <w:t>;</w:t>
      </w:r>
      <w:r w:rsidR="003D1563" w:rsidRPr="009069D3">
        <w:rPr>
          <w:rFonts w:ascii="Arial" w:hAnsi="Arial" w:cs="Arial"/>
          <w:color w:val="222222"/>
          <w:sz w:val="20"/>
          <w:szCs w:val="20"/>
        </w:rPr>
        <w:br/>
      </w:r>
      <w:r w:rsidR="003D1563" w:rsidRPr="009069D3">
        <w:rPr>
          <w:rFonts w:ascii="Arial" w:hAnsi="Arial" w:cs="Arial"/>
          <w:color w:val="222222"/>
          <w:sz w:val="20"/>
          <w:szCs w:val="20"/>
        </w:rPr>
        <w:br/>
      </w:r>
      <w:r>
        <w:rPr>
          <w:rFonts w:ascii="Arial" w:hAnsi="Arial" w:cs="Arial" w:hint="eastAsia"/>
          <w:color w:val="222222"/>
          <w:sz w:val="20"/>
          <w:szCs w:val="20"/>
        </w:rPr>
        <w:t>本人</w:t>
      </w:r>
      <w:r>
        <w:rPr>
          <w:rFonts w:ascii="Arial" w:hAnsi="Arial" w:cs="Arial" w:hint="eastAsia"/>
          <w:color w:val="222222"/>
          <w:sz w:val="20"/>
          <w:szCs w:val="20"/>
        </w:rPr>
        <w:t>/</w:t>
      </w:r>
      <w:r>
        <w:rPr>
          <w:rFonts w:ascii="Arial" w:hAnsi="Arial" w:cs="Arial" w:hint="eastAsia"/>
          <w:color w:val="222222"/>
          <w:sz w:val="20"/>
          <w:szCs w:val="20"/>
        </w:rPr>
        <w:t>吾等</w:t>
      </w:r>
      <w:r w:rsidR="003D1563" w:rsidRPr="009069D3">
        <w:rPr>
          <w:rFonts w:ascii="Arial" w:hAnsi="Arial" w:cs="Arial"/>
          <w:color w:val="222222"/>
          <w:sz w:val="20"/>
          <w:szCs w:val="20"/>
        </w:rPr>
        <w:t>沒有存檔地址帶有</w:t>
      </w:r>
      <w:r w:rsidR="003D1563" w:rsidRPr="009069D3">
        <w:rPr>
          <w:rFonts w:ascii="Arial" w:hAnsi="Arial" w:cs="Arial"/>
          <w:color w:val="222222"/>
          <w:sz w:val="20"/>
          <w:szCs w:val="20"/>
        </w:rPr>
        <w:t>“</w:t>
      </w:r>
      <w:r w:rsidR="003D1563" w:rsidRPr="009069D3">
        <w:rPr>
          <w:rFonts w:ascii="Arial" w:hAnsi="Arial" w:cs="Arial"/>
          <w:color w:val="222222"/>
          <w:sz w:val="20"/>
          <w:szCs w:val="20"/>
        </w:rPr>
        <w:t>轉交</w:t>
      </w:r>
      <w:r w:rsidR="003D1563" w:rsidRPr="009069D3">
        <w:rPr>
          <w:rFonts w:ascii="Arial" w:hAnsi="Arial" w:cs="Arial"/>
          <w:color w:val="222222"/>
          <w:sz w:val="20"/>
          <w:szCs w:val="20"/>
        </w:rPr>
        <w:t>”</w:t>
      </w:r>
      <w:r w:rsidR="003D1563" w:rsidRPr="009069D3">
        <w:rPr>
          <w:rFonts w:ascii="Arial" w:hAnsi="Arial" w:cs="Arial"/>
          <w:color w:val="222222"/>
          <w:sz w:val="20"/>
          <w:szCs w:val="20"/>
        </w:rPr>
        <w:t>或</w:t>
      </w:r>
      <w:r w:rsidR="003D1563" w:rsidRPr="009069D3">
        <w:rPr>
          <w:rFonts w:ascii="Arial" w:hAnsi="Arial" w:cs="Arial"/>
          <w:color w:val="222222"/>
          <w:sz w:val="20"/>
          <w:szCs w:val="20"/>
        </w:rPr>
        <w:t>“</w:t>
      </w:r>
      <w:r w:rsidR="003D1563" w:rsidRPr="009069D3">
        <w:rPr>
          <w:rFonts w:ascii="Arial" w:hAnsi="Arial" w:cs="Arial"/>
          <w:color w:val="222222"/>
          <w:sz w:val="20"/>
          <w:szCs w:val="20"/>
        </w:rPr>
        <w:t>留交郵件</w:t>
      </w:r>
      <w:r w:rsidR="003D1563" w:rsidRPr="009069D3">
        <w:rPr>
          <w:rFonts w:ascii="Arial" w:hAnsi="Arial" w:cs="Arial"/>
          <w:color w:val="222222"/>
          <w:sz w:val="20"/>
          <w:szCs w:val="20"/>
        </w:rPr>
        <w:t>”</w:t>
      </w:r>
      <w:r w:rsidR="003D1563" w:rsidRPr="009069D3">
        <w:rPr>
          <w:rFonts w:ascii="Arial" w:hAnsi="Arial" w:cs="Arial"/>
          <w:color w:val="222222"/>
          <w:sz w:val="20"/>
          <w:szCs w:val="20"/>
        </w:rPr>
        <w:t>或美國郵政信箱或／美國電話號碼</w:t>
      </w:r>
      <w:r>
        <w:rPr>
          <w:rFonts w:ascii="新細明體" w:eastAsia="新細明體" w:hAnsi="新細明體" w:cs="新細明體" w:hint="eastAsia"/>
          <w:color w:val="222222"/>
          <w:sz w:val="20"/>
          <w:szCs w:val="20"/>
        </w:rPr>
        <w:t>。</w:t>
      </w:r>
    </w:p>
    <w:p w:rsidR="003D1563" w:rsidRPr="009069D3" w:rsidRDefault="003D1563" w:rsidP="003D1563">
      <w:pPr>
        <w:ind w:left="-284"/>
        <w:rPr>
          <w:rFonts w:ascii="SimSun" w:hAnsi="SimSun"/>
          <w:sz w:val="20"/>
          <w:szCs w:val="20"/>
        </w:rPr>
      </w:pPr>
    </w:p>
    <w:p w:rsidR="00641FE1" w:rsidRDefault="009069D3" w:rsidP="009069D3">
      <w:pPr>
        <w:jc w:val="both"/>
        <w:rPr>
          <w:rFonts w:ascii="新細明體" w:eastAsia="新細明體" w:hAnsi="新細明體" w:cs="新細明體"/>
          <w:b/>
          <w:color w:val="222222"/>
          <w:sz w:val="20"/>
          <w:szCs w:val="20"/>
        </w:rPr>
      </w:pPr>
      <w:r w:rsidRPr="009069D3">
        <w:rPr>
          <w:rFonts w:ascii="Arial" w:hAnsi="Arial" w:cs="Arial" w:hint="eastAsia"/>
          <w:b/>
          <w:color w:val="222222"/>
          <w:sz w:val="20"/>
          <w:szCs w:val="20"/>
        </w:rPr>
        <w:t>本人</w:t>
      </w:r>
      <w:r w:rsidRPr="009069D3">
        <w:rPr>
          <w:rFonts w:ascii="Arial" w:hAnsi="Arial" w:cs="Arial" w:hint="eastAsia"/>
          <w:b/>
          <w:color w:val="222222"/>
          <w:sz w:val="20"/>
          <w:szCs w:val="20"/>
        </w:rPr>
        <w:t>/</w:t>
      </w:r>
      <w:r w:rsidRPr="009069D3">
        <w:rPr>
          <w:rFonts w:ascii="Arial" w:hAnsi="Arial" w:cs="Arial" w:hint="eastAsia"/>
          <w:b/>
          <w:color w:val="222222"/>
          <w:sz w:val="20"/>
          <w:szCs w:val="20"/>
        </w:rPr>
        <w:t>吾等</w:t>
      </w:r>
      <w:r w:rsidR="003D1563" w:rsidRPr="009069D3">
        <w:rPr>
          <w:rFonts w:ascii="新細明體" w:eastAsia="新細明體" w:hAnsi="新細明體" w:cs="新細明體" w:hint="eastAsia"/>
          <w:b/>
          <w:color w:val="222222"/>
          <w:sz w:val="20"/>
          <w:szCs w:val="20"/>
        </w:rPr>
        <w:t>謹此確認上文提供的</w:t>
      </w:r>
      <w:r w:rsidR="00F678C9">
        <w:rPr>
          <w:rFonts w:ascii="新細明體" w:eastAsia="新細明體" w:hAnsi="新細明體" w:cs="新細明體" w:hint="eastAsia"/>
          <w:b/>
          <w:color w:val="222222"/>
          <w:sz w:val="20"/>
          <w:szCs w:val="20"/>
        </w:rPr>
        <w:t>資料</w:t>
      </w:r>
      <w:r w:rsidR="003D1563" w:rsidRPr="009069D3">
        <w:rPr>
          <w:rFonts w:ascii="新細明體" w:eastAsia="新細明體" w:hAnsi="新細明體" w:cs="新細明體" w:hint="eastAsia"/>
          <w:b/>
          <w:color w:val="222222"/>
          <w:sz w:val="20"/>
          <w:szCs w:val="20"/>
        </w:rPr>
        <w:t>為真實、準確和完整</w:t>
      </w:r>
      <w:r w:rsidR="003D1563" w:rsidRPr="009069D3">
        <w:rPr>
          <w:rFonts w:ascii="Arial" w:hAnsi="Arial" w:cs="Arial"/>
          <w:b/>
          <w:color w:val="222222"/>
          <w:sz w:val="20"/>
          <w:szCs w:val="20"/>
        </w:rPr>
        <w:t>。在適用的本地法律規限下，我謹此同意萬贏證券有限公司（</w:t>
      </w:r>
      <w:r w:rsidR="003D1563" w:rsidRPr="009069D3">
        <w:rPr>
          <w:rFonts w:ascii="Arial" w:hAnsi="Arial" w:cs="Arial"/>
          <w:b/>
          <w:color w:val="222222"/>
          <w:sz w:val="20"/>
          <w:szCs w:val="20"/>
        </w:rPr>
        <w:t>“</w:t>
      </w:r>
      <w:r w:rsidR="003D1563" w:rsidRPr="009069D3">
        <w:rPr>
          <w:rFonts w:ascii="Arial" w:hAnsi="Arial" w:cs="Arial"/>
          <w:b/>
          <w:color w:val="222222"/>
          <w:sz w:val="20"/>
          <w:szCs w:val="20"/>
        </w:rPr>
        <w:t>貴公司</w:t>
      </w:r>
      <w:r w:rsidR="003D1563" w:rsidRPr="009069D3">
        <w:rPr>
          <w:rFonts w:ascii="Arial" w:hAnsi="Arial" w:cs="Arial"/>
          <w:b/>
          <w:color w:val="222222"/>
          <w:sz w:val="20"/>
          <w:szCs w:val="20"/>
        </w:rPr>
        <w:t>”</w:t>
      </w:r>
      <w:r w:rsidR="003D1563" w:rsidRPr="009069D3">
        <w:rPr>
          <w:rFonts w:ascii="Arial" w:hAnsi="Arial" w:cs="Arial"/>
          <w:b/>
          <w:color w:val="222222"/>
          <w:sz w:val="20"/>
          <w:szCs w:val="20"/>
        </w:rPr>
        <w:t>）或其任何</w:t>
      </w:r>
      <w:r w:rsidR="00F678C9">
        <w:rPr>
          <w:rFonts w:ascii="Arial" w:hAnsi="Arial" w:cs="Arial" w:hint="eastAsia"/>
          <w:b/>
          <w:color w:val="222222"/>
          <w:sz w:val="20"/>
          <w:szCs w:val="20"/>
        </w:rPr>
        <w:t>聯</w:t>
      </w:r>
      <w:r w:rsidR="003D1563" w:rsidRPr="009069D3">
        <w:rPr>
          <w:rFonts w:ascii="Arial" w:hAnsi="Arial" w:cs="Arial"/>
          <w:b/>
          <w:color w:val="222222"/>
          <w:sz w:val="20"/>
          <w:szCs w:val="20"/>
        </w:rPr>
        <w:t>屬公司在必要情況下與國內外監管機構或稅務機關分享</w:t>
      </w:r>
      <w:r w:rsidR="00F678C9" w:rsidRPr="009069D3">
        <w:rPr>
          <w:rFonts w:ascii="Arial" w:hAnsi="Arial" w:cs="Arial" w:hint="eastAsia"/>
          <w:b/>
          <w:color w:val="222222"/>
          <w:sz w:val="20"/>
          <w:szCs w:val="20"/>
        </w:rPr>
        <w:t>本人</w:t>
      </w:r>
      <w:r w:rsidR="00F678C9" w:rsidRPr="009069D3">
        <w:rPr>
          <w:rFonts w:ascii="Arial" w:hAnsi="Arial" w:cs="Arial" w:hint="eastAsia"/>
          <w:b/>
          <w:color w:val="222222"/>
          <w:sz w:val="20"/>
          <w:szCs w:val="20"/>
        </w:rPr>
        <w:t>/</w:t>
      </w:r>
      <w:r w:rsidR="00F678C9" w:rsidRPr="009069D3">
        <w:rPr>
          <w:rFonts w:ascii="Arial" w:hAnsi="Arial" w:cs="Arial" w:hint="eastAsia"/>
          <w:b/>
          <w:color w:val="222222"/>
          <w:sz w:val="20"/>
          <w:szCs w:val="20"/>
        </w:rPr>
        <w:t>吾等</w:t>
      </w:r>
      <w:r w:rsidR="003D1563" w:rsidRPr="009069D3">
        <w:rPr>
          <w:rFonts w:ascii="Arial" w:hAnsi="Arial" w:cs="Arial"/>
          <w:b/>
          <w:color w:val="222222"/>
          <w:sz w:val="20"/>
          <w:szCs w:val="20"/>
        </w:rPr>
        <w:t>的</w:t>
      </w:r>
      <w:r w:rsidR="00F678C9">
        <w:rPr>
          <w:rFonts w:ascii="新細明體" w:eastAsia="新細明體" w:hAnsi="新細明體" w:cs="新細明體" w:hint="eastAsia"/>
          <w:b/>
          <w:color w:val="222222"/>
          <w:sz w:val="20"/>
          <w:szCs w:val="20"/>
        </w:rPr>
        <w:t>資料</w:t>
      </w:r>
      <w:r w:rsidR="003D1563" w:rsidRPr="009069D3">
        <w:rPr>
          <w:rFonts w:ascii="Arial" w:hAnsi="Arial" w:cs="Arial"/>
          <w:b/>
          <w:color w:val="222222"/>
          <w:sz w:val="20"/>
          <w:szCs w:val="20"/>
        </w:rPr>
        <w:t>，以便確立我在任何司法管轄區的納稅義務。</w:t>
      </w:r>
      <w:r w:rsidR="003D1563" w:rsidRPr="009069D3">
        <w:rPr>
          <w:rFonts w:ascii="Arial" w:hAnsi="Arial" w:cs="Arial"/>
          <w:b/>
          <w:color w:val="222222"/>
          <w:sz w:val="20"/>
          <w:szCs w:val="20"/>
        </w:rPr>
        <w:br/>
      </w:r>
      <w:r w:rsidR="003D1563" w:rsidRPr="009069D3">
        <w:rPr>
          <w:rFonts w:ascii="Arial" w:hAnsi="Arial" w:cs="Arial"/>
          <w:b/>
          <w:color w:val="222222"/>
          <w:sz w:val="20"/>
          <w:szCs w:val="20"/>
        </w:rPr>
        <w:br/>
      </w:r>
      <w:r w:rsidR="003D1563" w:rsidRPr="009069D3">
        <w:rPr>
          <w:rFonts w:ascii="Arial" w:hAnsi="Arial" w:cs="Arial"/>
          <w:b/>
          <w:color w:val="222222"/>
          <w:sz w:val="20"/>
          <w:szCs w:val="20"/>
        </w:rPr>
        <w:t>如國內外監管機構或稅務機關要求，</w:t>
      </w:r>
      <w:r w:rsidRPr="009069D3">
        <w:rPr>
          <w:rFonts w:ascii="Arial" w:hAnsi="Arial" w:cs="Arial" w:hint="eastAsia"/>
          <w:b/>
          <w:color w:val="222222"/>
          <w:sz w:val="20"/>
          <w:szCs w:val="20"/>
        </w:rPr>
        <w:t>本人</w:t>
      </w:r>
      <w:r w:rsidRPr="009069D3">
        <w:rPr>
          <w:rFonts w:ascii="Arial" w:hAnsi="Arial" w:cs="Arial" w:hint="eastAsia"/>
          <w:b/>
          <w:color w:val="222222"/>
          <w:sz w:val="20"/>
          <w:szCs w:val="20"/>
        </w:rPr>
        <w:t>/</w:t>
      </w:r>
      <w:r w:rsidRPr="009069D3">
        <w:rPr>
          <w:rFonts w:ascii="Arial" w:hAnsi="Arial" w:cs="Arial" w:hint="eastAsia"/>
          <w:b/>
          <w:color w:val="222222"/>
          <w:sz w:val="20"/>
          <w:szCs w:val="20"/>
        </w:rPr>
        <w:t>吾等</w:t>
      </w:r>
      <w:r w:rsidR="003D1563" w:rsidRPr="009069D3">
        <w:rPr>
          <w:rFonts w:ascii="Arial" w:hAnsi="Arial" w:cs="Arial"/>
          <w:b/>
          <w:color w:val="222222"/>
          <w:sz w:val="20"/>
          <w:szCs w:val="20"/>
        </w:rPr>
        <w:t>同意及接受貴公司可從</w:t>
      </w:r>
      <w:r w:rsidRPr="009069D3">
        <w:rPr>
          <w:rFonts w:ascii="Arial" w:hAnsi="Arial" w:cs="Arial" w:hint="eastAsia"/>
          <w:b/>
          <w:color w:val="222222"/>
          <w:sz w:val="20"/>
          <w:szCs w:val="20"/>
        </w:rPr>
        <w:t>本人</w:t>
      </w:r>
      <w:r w:rsidRPr="009069D3">
        <w:rPr>
          <w:rFonts w:ascii="Arial" w:hAnsi="Arial" w:cs="Arial" w:hint="eastAsia"/>
          <w:b/>
          <w:color w:val="222222"/>
          <w:sz w:val="20"/>
          <w:szCs w:val="20"/>
        </w:rPr>
        <w:t>/</w:t>
      </w:r>
      <w:r w:rsidRPr="009069D3">
        <w:rPr>
          <w:rFonts w:ascii="Arial" w:hAnsi="Arial" w:cs="Arial" w:hint="eastAsia"/>
          <w:b/>
          <w:color w:val="222222"/>
          <w:sz w:val="20"/>
          <w:szCs w:val="20"/>
        </w:rPr>
        <w:t>吾等</w:t>
      </w:r>
      <w:r w:rsidR="003D1563" w:rsidRPr="009069D3">
        <w:rPr>
          <w:rFonts w:ascii="Arial" w:hAnsi="Arial" w:cs="Arial"/>
          <w:b/>
          <w:color w:val="222222"/>
          <w:sz w:val="20"/>
          <w:szCs w:val="20"/>
        </w:rPr>
        <w:t>的賬戶中預扣及支付適用</w:t>
      </w:r>
      <w:r w:rsidR="00F678C9">
        <w:rPr>
          <w:rFonts w:ascii="Arial" w:hAnsi="Arial" w:cs="Arial" w:hint="eastAsia"/>
          <w:b/>
          <w:color w:val="222222"/>
          <w:sz w:val="20"/>
          <w:szCs w:val="20"/>
        </w:rPr>
        <w:t>於</w:t>
      </w:r>
      <w:r w:rsidR="003D1563" w:rsidRPr="009069D3">
        <w:rPr>
          <w:rFonts w:ascii="Arial" w:hAnsi="Arial" w:cs="Arial"/>
          <w:b/>
          <w:color w:val="222222"/>
          <w:sz w:val="20"/>
          <w:szCs w:val="20"/>
        </w:rPr>
        <w:t>法律、法規、與監管機構或政府當局達成的協議和指令可能規定的有關款項</w:t>
      </w:r>
      <w:r w:rsidR="003D1563" w:rsidRPr="009069D3">
        <w:rPr>
          <w:rFonts w:ascii="新細明體" w:eastAsia="新細明體" w:hAnsi="新細明體" w:cs="新細明體" w:hint="eastAsia"/>
          <w:b/>
          <w:color w:val="222222"/>
          <w:sz w:val="20"/>
          <w:szCs w:val="20"/>
        </w:rPr>
        <w:t>。</w:t>
      </w: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9069D3">
      <w:pPr>
        <w:jc w:val="both"/>
        <w:rPr>
          <w:rFonts w:ascii="新細明體" w:eastAsia="新細明體" w:hAnsi="新細明體" w:cs="新細明體"/>
          <w:b/>
          <w:color w:val="222222"/>
          <w:sz w:val="20"/>
          <w:szCs w:val="20"/>
        </w:rPr>
      </w:pPr>
    </w:p>
    <w:p w:rsidR="00C2746A" w:rsidRDefault="00C2746A" w:rsidP="00C2746A">
      <w:pPr>
        <w:pStyle w:val="Default"/>
      </w:pPr>
    </w:p>
    <w:p w:rsidR="00790364" w:rsidRDefault="00790364" w:rsidP="00B76304">
      <w:pPr>
        <w:rPr>
          <w:rStyle w:val="shorttext"/>
          <w:rFonts w:ascii="新細明體" w:eastAsia="新細明體" w:hAnsi="新細明體" w:cs="新細明體"/>
          <w:b/>
        </w:rPr>
      </w:pPr>
    </w:p>
    <w:p w:rsidR="00C2746A" w:rsidRDefault="00C2746A" w:rsidP="00B76304">
      <w:pPr>
        <w:rPr>
          <w:rStyle w:val="shorttext"/>
          <w:rFonts w:ascii="新細明體" w:eastAsia="新細明體" w:hAnsi="新細明體" w:cs="新細明體"/>
          <w:b/>
        </w:rPr>
      </w:pPr>
      <w:bookmarkStart w:id="0" w:name="_GoBack"/>
      <w:bookmarkEnd w:id="0"/>
      <w:r w:rsidRPr="00B76304">
        <w:rPr>
          <w:rStyle w:val="shorttext"/>
          <w:rFonts w:ascii="新細明體" w:eastAsia="新細明體" w:hAnsi="新細明體" w:cs="新細明體" w:hint="eastAsia"/>
          <w:b/>
        </w:rPr>
        <w:t>万赢资本有限公司</w:t>
      </w:r>
      <w:r w:rsidRPr="00B76304">
        <w:rPr>
          <w:rStyle w:val="shorttext"/>
          <w:rFonts w:ascii="新細明體" w:eastAsia="新細明體" w:hAnsi="新細明體" w:cs="新細明體"/>
          <w:b/>
        </w:rPr>
        <w:t>-</w:t>
      </w:r>
      <w:r w:rsidRPr="00B76304">
        <w:rPr>
          <w:rStyle w:val="shorttext"/>
          <w:rFonts w:ascii="新細明體" w:eastAsia="新細明體" w:hAnsi="新細明體" w:cs="新細明體" w:hint="eastAsia"/>
          <w:b/>
        </w:rPr>
        <w:t>美国人士买卖股票的集团政策</w:t>
      </w:r>
    </w:p>
    <w:p w:rsidR="00B76304" w:rsidRPr="00B76304" w:rsidRDefault="00B76304" w:rsidP="00B76304">
      <w:pPr>
        <w:rPr>
          <w:rStyle w:val="shorttext"/>
          <w:rFonts w:ascii="新細明體" w:eastAsia="新細明體" w:hAnsi="新細明體" w:cs="新細明體"/>
          <w:b/>
        </w:rPr>
      </w:pPr>
    </w:p>
    <w:p w:rsidR="00C2746A" w:rsidRPr="00B76304" w:rsidRDefault="00C2746A" w:rsidP="00B76304">
      <w:pPr>
        <w:rPr>
          <w:rFonts w:ascii="新細明體" w:eastAsia="新細明體" w:hAnsi="新細明體" w:cs="新細明體"/>
          <w:color w:val="222222"/>
          <w:sz w:val="20"/>
          <w:szCs w:val="20"/>
        </w:rPr>
      </w:pPr>
      <w:r w:rsidRPr="00B76304">
        <w:rPr>
          <w:rFonts w:ascii="新細明體" w:eastAsia="新細明體" w:hAnsi="新細明體" w:cs="新細明體" w:hint="eastAsia"/>
          <w:color w:val="222222"/>
          <w:sz w:val="20"/>
          <w:szCs w:val="20"/>
        </w:rPr>
        <w:t>自</w:t>
      </w:r>
      <w:r w:rsidRPr="00B76304">
        <w:rPr>
          <w:rFonts w:ascii="新細明體" w:eastAsia="新細明體" w:hAnsi="新細明體" w:cs="新細明體"/>
          <w:color w:val="222222"/>
          <w:sz w:val="20"/>
          <w:szCs w:val="20"/>
        </w:rPr>
        <w:t>2013</w:t>
      </w:r>
      <w:r w:rsidRPr="00B76304">
        <w:rPr>
          <w:rFonts w:ascii="新細明體" w:eastAsia="新細明體" w:hAnsi="新細明體" w:cs="新細明體" w:hint="eastAsia"/>
          <w:color w:val="222222"/>
          <w:sz w:val="20"/>
          <w:szCs w:val="20"/>
        </w:rPr>
        <w:t>年</w:t>
      </w:r>
      <w:r w:rsidRPr="00B76304">
        <w:rPr>
          <w:rFonts w:ascii="新細明體" w:eastAsia="新細明體" w:hAnsi="新細明體" w:cs="新細明體"/>
          <w:color w:val="222222"/>
          <w:sz w:val="20"/>
          <w:szCs w:val="20"/>
        </w:rPr>
        <w:t>1</w:t>
      </w:r>
      <w:r w:rsidRPr="00B76304">
        <w:rPr>
          <w:rFonts w:ascii="新細明體" w:eastAsia="新細明體" w:hAnsi="新細明體" w:cs="新細明體" w:hint="eastAsia"/>
          <w:color w:val="222222"/>
          <w:sz w:val="20"/>
          <w:szCs w:val="20"/>
        </w:rPr>
        <w:t>月</w:t>
      </w:r>
      <w:r w:rsidRPr="00B76304">
        <w:rPr>
          <w:rFonts w:ascii="新細明體" w:eastAsia="新細明體" w:hAnsi="新細明體" w:cs="新細明體"/>
          <w:color w:val="222222"/>
          <w:sz w:val="20"/>
          <w:szCs w:val="20"/>
        </w:rPr>
        <w:t>1</w:t>
      </w:r>
      <w:r w:rsidRPr="00B76304">
        <w:rPr>
          <w:rFonts w:ascii="新細明體" w:eastAsia="新細明體" w:hAnsi="新細明體" w:cs="新細明體" w:hint="eastAsia"/>
          <w:color w:val="222222"/>
          <w:sz w:val="20"/>
          <w:szCs w:val="20"/>
        </w:rPr>
        <w:t>日起，所有美国人士都被严格禁止在万赢资本有限公司（连同其子公司（即万赢证券有限公司）及联属公司，统称</w:t>
      </w: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万赢集团</w:t>
      </w: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）开立或维持账户。</w:t>
      </w:r>
    </w:p>
    <w:p w:rsidR="00C2746A" w:rsidRPr="00B76304" w:rsidRDefault="00C2746A" w:rsidP="00B76304">
      <w:pPr>
        <w:rPr>
          <w:rFonts w:ascii="新細明體" w:eastAsia="新細明體" w:hAnsi="新細明體" w:cs="新細明體"/>
          <w:color w:val="222222"/>
          <w:sz w:val="20"/>
          <w:szCs w:val="20"/>
        </w:rPr>
      </w:pPr>
      <w:r w:rsidRPr="00B76304">
        <w:rPr>
          <w:rFonts w:ascii="新細明體" w:eastAsia="新細明體" w:hAnsi="新細明體" w:cs="新細明體" w:hint="eastAsia"/>
          <w:color w:val="222222"/>
          <w:sz w:val="20"/>
          <w:szCs w:val="20"/>
        </w:rPr>
        <w:t>万赢集团可能审查所有新设和现有的客户账户，以寻找个人可能被视为美国人士的任何情况。万赢集团可能要求新的或现有客户通过提供额外文件（由客户提供的所有信息于下文称为</w:t>
      </w: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信息</w:t>
      </w: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）自行证明他们并非美国人士。</w:t>
      </w:r>
    </w:p>
    <w:p w:rsidR="00C2746A" w:rsidRDefault="00C2746A" w:rsidP="00B76304">
      <w:p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美国人士</w:t>
      </w: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一词指</w:t>
      </w:r>
      <w:r w:rsidRPr="00B76304">
        <w:rPr>
          <w:rFonts w:ascii="新細明體" w:eastAsia="新細明體" w:hAnsi="新細明體" w:cs="新細明體"/>
          <w:color w:val="222222"/>
          <w:sz w:val="20"/>
          <w:szCs w:val="20"/>
        </w:rPr>
        <w:t>:</w:t>
      </w:r>
    </w:p>
    <w:p w:rsidR="00B76304" w:rsidRPr="00B76304" w:rsidRDefault="00B76304" w:rsidP="00B76304">
      <w:pPr>
        <w:rPr>
          <w:rFonts w:ascii="新細明體" w:eastAsia="新細明體" w:hAnsi="新細明體" w:cs="新細明體"/>
          <w:color w:val="222222"/>
          <w:sz w:val="20"/>
          <w:szCs w:val="20"/>
        </w:rPr>
      </w:pP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美国公民（包括出生在美国但居住在其他国家的个人）；</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美国合法居民（包括美国绿卡持有人）；</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居住在美国的人士或一年中有大量时间在美国的人士；</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美国合伙企业；</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美国公司；</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已故美国公民或居民的遗产；及</w:t>
      </w:r>
    </w:p>
    <w:p w:rsidR="00C2746A" w:rsidRPr="00B76304" w:rsidRDefault="00C2746A" w:rsidP="00B76304">
      <w:pPr>
        <w:pStyle w:val="ListParagraph"/>
        <w:numPr>
          <w:ilvl w:val="0"/>
          <w:numId w:val="11"/>
        </w:numPr>
        <w:ind w:left="990" w:hanging="630"/>
        <w:rPr>
          <w:rFonts w:ascii="新細明體" w:eastAsia="新細明體" w:hAnsi="新細明體" w:cs="新細明體"/>
          <w:color w:val="222222"/>
          <w:sz w:val="20"/>
          <w:szCs w:val="20"/>
        </w:rPr>
      </w:pPr>
      <w:r w:rsidRPr="00B76304">
        <w:rPr>
          <w:rFonts w:ascii="新細明體" w:eastAsia="新細明體" w:hAnsi="新細明體" w:cs="新細明體" w:hint="eastAsia"/>
          <w:color w:val="222222"/>
          <w:sz w:val="20"/>
          <w:szCs w:val="20"/>
        </w:rPr>
        <w:t>信托，条件是美国法院根据适用法律有权对有关信托的行政管理的几乎所有问题作</w:t>
      </w:r>
      <w:r w:rsidR="00B76304">
        <w:rPr>
          <w:rFonts w:ascii="新細明體" w:eastAsia="新細明體" w:hAnsi="新細明體" w:cs="新細明體" w:hint="eastAsia"/>
          <w:color w:val="222222"/>
          <w:sz w:val="20"/>
          <w:szCs w:val="20"/>
        </w:rPr>
        <w:t xml:space="preserve">      </w:t>
      </w:r>
      <w:r w:rsidRPr="00B76304">
        <w:rPr>
          <w:rFonts w:ascii="新細明體" w:eastAsia="新細明體" w:hAnsi="新細明體" w:cs="新細明體" w:hint="eastAsia"/>
          <w:color w:val="222222"/>
          <w:sz w:val="20"/>
          <w:szCs w:val="20"/>
        </w:rPr>
        <w:t>出裁定或判决，而一名或多名美国人士有权控制信托的所有重大决定。</w:t>
      </w:r>
    </w:p>
    <w:p w:rsidR="00C2746A" w:rsidRPr="00B76304" w:rsidRDefault="00C2746A" w:rsidP="00B76304">
      <w:pPr>
        <w:rPr>
          <w:rFonts w:ascii="新細明體" w:eastAsia="新細明體" w:hAnsi="新細明體" w:cs="新細明體"/>
          <w:color w:val="222222"/>
          <w:sz w:val="20"/>
          <w:szCs w:val="20"/>
        </w:rPr>
      </w:pPr>
    </w:p>
    <w:p w:rsidR="00C2746A" w:rsidRPr="00B76304" w:rsidRDefault="00B76304" w:rsidP="00B76304">
      <w:pPr>
        <w:pStyle w:val="ListParagraph"/>
        <w:numPr>
          <w:ilvl w:val="0"/>
          <w:numId w:val="11"/>
        </w:numPr>
        <w:rPr>
          <w:rFonts w:ascii="新細明體" w:eastAsia="新細明體" w:hAnsi="新細明體" w:cs="新細明體"/>
          <w:color w:val="222222"/>
          <w:sz w:val="20"/>
          <w:szCs w:val="20"/>
        </w:rPr>
      </w:pPr>
      <w:r>
        <w:rPr>
          <w:rFonts w:ascii="新細明體" w:eastAsia="新細明體" w:hAnsi="新細明體" w:cs="新細明體" w:hint="eastAsia"/>
          <w:color w:val="222222"/>
          <w:sz w:val="20"/>
          <w:szCs w:val="20"/>
        </w:rPr>
        <w:t xml:space="preserve">   </w:t>
      </w:r>
      <w:r w:rsidR="00C2746A" w:rsidRPr="00B76304">
        <w:rPr>
          <w:rFonts w:ascii="新細明體" w:eastAsia="新細明體" w:hAnsi="新細明體" w:cs="新細明體" w:hint="eastAsia"/>
          <w:color w:val="222222"/>
          <w:sz w:val="20"/>
          <w:szCs w:val="20"/>
        </w:rPr>
        <w:t>账户包括(但不限于）:</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万赢集团维持的任何存托账户；</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万赢集团维持的任何托管账户；及</w:t>
      </w:r>
    </w:p>
    <w:p w:rsidR="00C2746A" w:rsidRPr="00B76304" w:rsidRDefault="00C2746A" w:rsidP="00B76304">
      <w:pPr>
        <w:pStyle w:val="ListParagraph"/>
        <w:numPr>
          <w:ilvl w:val="0"/>
          <w:numId w:val="11"/>
        </w:numPr>
        <w:rPr>
          <w:rFonts w:ascii="新細明體" w:eastAsia="新細明體" w:hAnsi="新細明體" w:cs="新細明體"/>
          <w:color w:val="222222"/>
          <w:sz w:val="20"/>
          <w:szCs w:val="20"/>
        </w:rPr>
      </w:pPr>
      <w:r w:rsidRPr="00B76304">
        <w:rPr>
          <w:rFonts w:ascii="新細明體" w:eastAsia="新細明體" w:hAnsi="新細明體" w:cs="新細明體"/>
          <w:color w:val="222222"/>
          <w:sz w:val="20"/>
          <w:szCs w:val="20"/>
        </w:rPr>
        <w:t></w:t>
      </w:r>
      <w:r w:rsidRPr="00B76304">
        <w:rPr>
          <w:rFonts w:ascii="新細明體" w:eastAsia="新細明體" w:hAnsi="新細明體" w:cs="新細明體" w:hint="eastAsia"/>
          <w:color w:val="222222"/>
          <w:sz w:val="20"/>
          <w:szCs w:val="20"/>
        </w:rPr>
        <w:t xml:space="preserve"> </w:t>
      </w:r>
      <w:proofErr w:type="gramStart"/>
      <w:r w:rsidRPr="00B76304">
        <w:rPr>
          <w:rFonts w:ascii="新細明體" w:eastAsia="新細明體" w:hAnsi="新細明體" w:cs="新細明體" w:hint="eastAsia"/>
          <w:color w:val="222222"/>
          <w:sz w:val="20"/>
          <w:szCs w:val="20"/>
        </w:rPr>
        <w:t>于万赢集团的任何股本或债务权益(</w:t>
      </w:r>
      <w:proofErr w:type="gramEnd"/>
      <w:r w:rsidRPr="00B76304">
        <w:rPr>
          <w:rFonts w:ascii="新細明體" w:eastAsia="新細明體" w:hAnsi="新細明體" w:cs="新細明體" w:hint="eastAsia"/>
          <w:color w:val="222222"/>
          <w:sz w:val="20"/>
          <w:szCs w:val="20"/>
        </w:rPr>
        <w:t>可立即于成熟的证券市场买卖的权益除外）。</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B76304">
      <w:pPr>
        <w:tabs>
          <w:tab w:val="left" w:pos="993"/>
        </w:tabs>
        <w:ind w:rightChars="50" w:right="120"/>
        <w:jc w:val="both"/>
        <w:rPr>
          <w:rFonts w:ascii="新細明體" w:eastAsia="新細明體" w:hAnsi="新細明體" w:cs="新細明體"/>
          <w:b/>
          <w:color w:val="222222"/>
          <w:kern w:val="0"/>
          <w:sz w:val="20"/>
          <w:szCs w:val="20"/>
        </w:rPr>
      </w:pPr>
      <w:r w:rsidRPr="00B76304">
        <w:rPr>
          <w:rFonts w:ascii="新細明體" w:eastAsia="新細明體" w:hAnsi="新細明體" w:cs="新細明體" w:hint="eastAsia"/>
          <w:b/>
          <w:color w:val="222222"/>
          <w:kern w:val="0"/>
          <w:sz w:val="20"/>
          <w:szCs w:val="20"/>
        </w:rPr>
        <w:t>据万赢集团所深知，万赢集团认为信息为其客户法律地位的准确陈述。并无就信息的准确性、充分性或完整性作出任何明示或暗示的声明或保证。万赢集团不会对信息负责，而彼等各自的股东、董事、高级职员和员工概不会就与信息有关的任何错误或遗漏承担任何责任。</w:t>
      </w:r>
    </w:p>
    <w:p w:rsidR="00C2746A" w:rsidRPr="00B76304" w:rsidRDefault="00C2746A"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Default="00C2746A" w:rsidP="00C2746A">
      <w:pPr>
        <w:jc w:val="both"/>
        <w:rPr>
          <w:rFonts w:ascii="Arial" w:hAnsi="Arial" w:cs="Arial"/>
          <w:color w:val="222222"/>
          <w:sz w:val="20"/>
          <w:szCs w:val="20"/>
        </w:rPr>
      </w:pPr>
    </w:p>
    <w:p w:rsidR="00B76304" w:rsidRDefault="00B76304" w:rsidP="00C2746A">
      <w:pPr>
        <w:jc w:val="both"/>
        <w:rPr>
          <w:rFonts w:ascii="Arial" w:hAnsi="Arial" w:cs="Arial"/>
          <w:color w:val="222222"/>
          <w:sz w:val="20"/>
          <w:szCs w:val="20"/>
        </w:rPr>
      </w:pPr>
    </w:p>
    <w:p w:rsidR="00B76304" w:rsidRDefault="00B76304" w:rsidP="00C2746A">
      <w:pPr>
        <w:jc w:val="both"/>
        <w:rPr>
          <w:rFonts w:ascii="Arial" w:hAnsi="Arial" w:cs="Arial"/>
          <w:color w:val="222222"/>
          <w:sz w:val="20"/>
          <w:szCs w:val="20"/>
        </w:rPr>
      </w:pPr>
    </w:p>
    <w:p w:rsidR="00B76304" w:rsidRDefault="00B76304" w:rsidP="00C2746A">
      <w:pPr>
        <w:jc w:val="both"/>
        <w:rPr>
          <w:rFonts w:ascii="Arial" w:hAnsi="Arial" w:cs="Arial"/>
          <w:color w:val="222222"/>
          <w:sz w:val="20"/>
          <w:szCs w:val="20"/>
        </w:rPr>
      </w:pPr>
    </w:p>
    <w:p w:rsidR="00B76304" w:rsidRPr="00B76304" w:rsidRDefault="00B76304"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Pr="00B76304" w:rsidRDefault="00C2746A" w:rsidP="00C2746A">
      <w:pPr>
        <w:jc w:val="both"/>
        <w:rPr>
          <w:rFonts w:ascii="Arial" w:hAnsi="Arial" w:cs="Arial"/>
          <w:color w:val="222222"/>
          <w:sz w:val="20"/>
          <w:szCs w:val="20"/>
        </w:rPr>
      </w:pPr>
    </w:p>
    <w:p w:rsidR="00C2746A" w:rsidRPr="00B76304" w:rsidRDefault="00C2746A" w:rsidP="00B76304">
      <w:pPr>
        <w:tabs>
          <w:tab w:val="left" w:pos="567"/>
        </w:tabs>
        <w:ind w:right="-574"/>
        <w:rPr>
          <w:rFonts w:ascii="新細明體" w:eastAsia="新細明體" w:hAnsi="新細明體" w:cs="新細明體"/>
          <w:b/>
          <w:color w:val="222222"/>
        </w:rPr>
      </w:pPr>
      <w:r w:rsidRPr="00B76304">
        <w:rPr>
          <w:rFonts w:ascii="新細明體" w:eastAsia="新細明體" w:hAnsi="新細明體" w:cs="新細明體" w:hint="eastAsia"/>
          <w:b/>
          <w:color w:val="222222"/>
        </w:rPr>
        <w:t>本人声明及保证：</w:t>
      </w: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我不是美国公民</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我不是美国居民</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proofErr w:type="gramStart"/>
      <w:r w:rsidRPr="00B76304">
        <w:rPr>
          <w:rFonts w:ascii="Arial" w:eastAsiaTheme="minorEastAsia" w:hAnsi="Arial" w:cs="Arial" w:hint="eastAsia"/>
          <w:color w:val="222222"/>
          <w:kern w:val="2"/>
          <w:sz w:val="20"/>
          <w:szCs w:val="20"/>
        </w:rPr>
        <w:t>我不持有美国永久居民卡</w:t>
      </w:r>
      <w:r w:rsidRPr="00B76304">
        <w:rPr>
          <w:rFonts w:ascii="Arial" w:eastAsiaTheme="minorEastAsia" w:hAnsi="Arial" w:cs="Arial" w:hint="eastAsia"/>
          <w:color w:val="222222"/>
          <w:kern w:val="2"/>
          <w:sz w:val="20"/>
          <w:szCs w:val="20"/>
        </w:rPr>
        <w:t>(</w:t>
      </w:r>
      <w:proofErr w:type="gramEnd"/>
      <w:r w:rsidRPr="00B76304">
        <w:rPr>
          <w:rFonts w:ascii="Arial" w:eastAsiaTheme="minorEastAsia" w:hAnsi="Arial" w:cs="Arial" w:hint="eastAsia"/>
          <w:color w:val="222222"/>
          <w:kern w:val="2"/>
          <w:sz w:val="20"/>
          <w:szCs w:val="20"/>
        </w:rPr>
        <w:t>绿卡）</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我并非出生于美国（出生地为美国）</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我没有向拥有美国地址的人士授予授权委托书或签署授权</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我没有定期收到来自美国地址有关向美国账户转入资金的指示或指令</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color w:val="222222"/>
          <w:kern w:val="2"/>
          <w:sz w:val="20"/>
          <w:szCs w:val="20"/>
        </w:rPr>
      </w:pP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 xml:space="preserve"> </w:t>
      </w:r>
      <w:r w:rsidRPr="00B76304">
        <w:rPr>
          <w:rFonts w:ascii="Arial" w:eastAsiaTheme="minorEastAsia" w:hAnsi="Arial" w:cs="Arial" w:hint="eastAsia"/>
          <w:color w:val="222222"/>
          <w:kern w:val="2"/>
          <w:sz w:val="20"/>
          <w:szCs w:val="20"/>
        </w:rPr>
        <w:t>我没有存档地址带有</w:t>
      </w: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转交</w:t>
      </w: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或</w:t>
      </w: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留交邮件</w:t>
      </w:r>
      <w:r w:rsidRPr="00B76304">
        <w:rPr>
          <w:rFonts w:ascii="Arial" w:eastAsiaTheme="minorEastAsia" w:hAnsi="Arial" w:cs="Arial"/>
          <w:color w:val="222222"/>
          <w:kern w:val="2"/>
          <w:sz w:val="20"/>
          <w:szCs w:val="20"/>
        </w:rPr>
        <w:t>”</w:t>
      </w:r>
      <w:r w:rsidRPr="00B76304">
        <w:rPr>
          <w:rFonts w:ascii="Arial" w:eastAsiaTheme="minorEastAsia" w:hAnsi="Arial" w:cs="Arial" w:hint="eastAsia"/>
          <w:color w:val="222222"/>
          <w:kern w:val="2"/>
          <w:sz w:val="20"/>
          <w:szCs w:val="20"/>
        </w:rPr>
        <w:t>或美国邮政信箱或／美国电话号码：</w:t>
      </w:r>
    </w:p>
    <w:p w:rsidR="00C2746A" w:rsidRPr="00B76304" w:rsidRDefault="00C2746A" w:rsidP="00C2746A">
      <w:pPr>
        <w:pStyle w:val="Default"/>
        <w:rPr>
          <w:rFonts w:ascii="Arial" w:eastAsiaTheme="minorEastAsia" w:hAnsi="Arial" w:cs="Arial"/>
          <w:color w:val="222222"/>
          <w:kern w:val="2"/>
          <w:sz w:val="20"/>
          <w:szCs w:val="20"/>
        </w:rPr>
      </w:pPr>
    </w:p>
    <w:p w:rsidR="00C2746A" w:rsidRPr="00B76304" w:rsidRDefault="00C2746A" w:rsidP="00C2746A">
      <w:pPr>
        <w:pStyle w:val="Default"/>
        <w:rPr>
          <w:rFonts w:ascii="Arial" w:eastAsiaTheme="minorEastAsia" w:hAnsi="Arial" w:cs="Arial"/>
          <w:b/>
          <w:color w:val="222222"/>
          <w:kern w:val="2"/>
          <w:sz w:val="20"/>
          <w:szCs w:val="20"/>
        </w:rPr>
      </w:pPr>
      <w:r w:rsidRPr="00B76304">
        <w:rPr>
          <w:rFonts w:ascii="Arial" w:eastAsiaTheme="minorEastAsia" w:hAnsi="Arial" w:cs="Arial" w:hint="eastAsia"/>
          <w:b/>
          <w:color w:val="222222"/>
          <w:kern w:val="2"/>
          <w:sz w:val="20"/>
          <w:szCs w:val="20"/>
        </w:rPr>
        <w:t>我谨此确认上文提供的信息为真实、准确和完整。在适用的本地法律规限下，我谨此同意万赢证券有限公司（</w:t>
      </w:r>
      <w:r w:rsidRPr="00B76304">
        <w:rPr>
          <w:rFonts w:ascii="Arial" w:eastAsiaTheme="minorEastAsia" w:hAnsi="Arial" w:cs="Arial"/>
          <w:b/>
          <w:color w:val="222222"/>
          <w:kern w:val="2"/>
          <w:sz w:val="20"/>
          <w:szCs w:val="20"/>
        </w:rPr>
        <w:t>“</w:t>
      </w:r>
      <w:r w:rsidRPr="00B76304">
        <w:rPr>
          <w:rFonts w:ascii="Arial" w:eastAsiaTheme="minorEastAsia" w:hAnsi="Arial" w:cs="Arial" w:hint="eastAsia"/>
          <w:b/>
          <w:color w:val="222222"/>
          <w:kern w:val="2"/>
          <w:sz w:val="20"/>
          <w:szCs w:val="20"/>
        </w:rPr>
        <w:t>贵公司</w:t>
      </w:r>
      <w:r w:rsidRPr="00B76304">
        <w:rPr>
          <w:rFonts w:ascii="Arial" w:eastAsiaTheme="minorEastAsia" w:hAnsi="Arial" w:cs="Arial"/>
          <w:b/>
          <w:color w:val="222222"/>
          <w:kern w:val="2"/>
          <w:sz w:val="20"/>
          <w:szCs w:val="20"/>
        </w:rPr>
        <w:t>”</w:t>
      </w:r>
      <w:r w:rsidRPr="00B76304">
        <w:rPr>
          <w:rFonts w:ascii="Arial" w:eastAsiaTheme="minorEastAsia" w:hAnsi="Arial" w:cs="Arial" w:hint="eastAsia"/>
          <w:b/>
          <w:color w:val="222222"/>
          <w:kern w:val="2"/>
          <w:sz w:val="20"/>
          <w:szCs w:val="20"/>
        </w:rPr>
        <w:t>）或其任何联属公司在必要情况下与国内外监管机构或税务机关分享我的信息，以便确立我在任何司法管辖区的纳税义务。</w:t>
      </w:r>
    </w:p>
    <w:p w:rsidR="00C2746A" w:rsidRPr="00B76304" w:rsidRDefault="00C2746A" w:rsidP="00C2746A">
      <w:pPr>
        <w:jc w:val="both"/>
        <w:rPr>
          <w:rFonts w:ascii="Arial" w:hAnsi="Arial" w:cs="Arial"/>
          <w:b/>
          <w:color w:val="222222"/>
          <w:sz w:val="20"/>
          <w:szCs w:val="20"/>
        </w:rPr>
      </w:pPr>
      <w:r w:rsidRPr="00B76304">
        <w:rPr>
          <w:rFonts w:ascii="Arial" w:hAnsi="Arial" w:cs="Arial" w:hint="eastAsia"/>
          <w:b/>
          <w:color w:val="222222"/>
          <w:sz w:val="20"/>
          <w:szCs w:val="20"/>
        </w:rPr>
        <w:t>如国内外监管机构或税务机关要求，我同意及接受贵公司可从我的账户中预扣及支付适用法律、法规、与监管机构或政府当局达成的协议和指令可能规定的有关款项。</w:t>
      </w:r>
    </w:p>
    <w:sectPr w:rsidR="00C2746A" w:rsidRPr="00B76304">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CE" w:rsidRDefault="00B740CE" w:rsidP="00E80641">
      <w:r>
        <w:separator/>
      </w:r>
    </w:p>
  </w:endnote>
  <w:endnote w:type="continuationSeparator" w:id="0">
    <w:p w:rsidR="00B740CE" w:rsidRDefault="00B740CE" w:rsidP="00E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41" w:rsidRDefault="00E80641" w:rsidP="00E80641">
    <w:pPr>
      <w:jc w:val="both"/>
    </w:pPr>
    <w:r>
      <w:rPr>
        <w:rFonts w:ascii="Times-Roman" w:hAnsi="Times-Roman" w:cs="Times-Roman"/>
        <w:kern w:val="0"/>
        <w:sz w:val="15"/>
        <w:szCs w:val="15"/>
      </w:rPr>
      <w:t>25/F, China United Centre, 28 Marble Road, North Point, Hong Kong. Tel: (852) 3198 0622 Fax: (852) 2899 0299</w:t>
    </w:r>
  </w:p>
  <w:p w:rsidR="00E80641" w:rsidRDefault="00E8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CE" w:rsidRDefault="00B740CE" w:rsidP="00E80641">
      <w:r>
        <w:separator/>
      </w:r>
    </w:p>
  </w:footnote>
  <w:footnote w:type="continuationSeparator" w:id="0">
    <w:p w:rsidR="00B740CE" w:rsidRDefault="00B740CE" w:rsidP="00E80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41" w:rsidRDefault="00AE6F73" w:rsidP="00E80641">
    <w:pPr>
      <w:pStyle w:val="Header"/>
    </w:pPr>
    <w:r>
      <w:rPr>
        <w:noProof/>
      </w:rPr>
      <w:drawing>
        <wp:inline distT="0" distB="0" distL="0" distR="0">
          <wp:extent cx="1498738" cy="533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140" cy="5417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B48D3"/>
    <w:multiLevelType w:val="hybridMultilevel"/>
    <w:tmpl w:val="D3BA0B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241A"/>
    <w:multiLevelType w:val="hybridMultilevel"/>
    <w:tmpl w:val="665E930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475F3"/>
    <w:multiLevelType w:val="hybridMultilevel"/>
    <w:tmpl w:val="67C43C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552586F"/>
    <w:multiLevelType w:val="hybridMultilevel"/>
    <w:tmpl w:val="E8B4BF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B87F54"/>
    <w:multiLevelType w:val="hybridMultilevel"/>
    <w:tmpl w:val="13563F5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92709"/>
    <w:multiLevelType w:val="hybridMultilevel"/>
    <w:tmpl w:val="2CBE046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D697B53"/>
    <w:multiLevelType w:val="hybridMultilevel"/>
    <w:tmpl w:val="DB6AF0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43F92"/>
    <w:multiLevelType w:val="hybridMultilevel"/>
    <w:tmpl w:val="0B145D8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43761"/>
    <w:multiLevelType w:val="hybridMultilevel"/>
    <w:tmpl w:val="7B085402"/>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9" w15:restartNumberingAfterBreak="0">
    <w:nsid w:val="65763F09"/>
    <w:multiLevelType w:val="hybridMultilevel"/>
    <w:tmpl w:val="0934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E788F"/>
    <w:multiLevelType w:val="hybridMultilevel"/>
    <w:tmpl w:val="C5F00C86"/>
    <w:lvl w:ilvl="0" w:tplc="0409000B">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4"/>
  </w:num>
  <w:num w:numId="2">
    <w:abstractNumId w:val="1"/>
  </w:num>
  <w:num w:numId="3">
    <w:abstractNumId w:val="7"/>
  </w:num>
  <w:num w:numId="4">
    <w:abstractNumId w:val="10"/>
  </w:num>
  <w:num w:numId="5">
    <w:abstractNumId w:val="5"/>
  </w:num>
  <w:num w:numId="6">
    <w:abstractNumId w:val="6"/>
  </w:num>
  <w:num w:numId="7">
    <w:abstractNumId w:val="8"/>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41"/>
    <w:rsid w:val="00034383"/>
    <w:rsid w:val="001439DF"/>
    <w:rsid w:val="002D409E"/>
    <w:rsid w:val="00395568"/>
    <w:rsid w:val="003D1563"/>
    <w:rsid w:val="003E64C7"/>
    <w:rsid w:val="0052293F"/>
    <w:rsid w:val="005B2F5C"/>
    <w:rsid w:val="00641FE1"/>
    <w:rsid w:val="00790364"/>
    <w:rsid w:val="009069D3"/>
    <w:rsid w:val="00A54136"/>
    <w:rsid w:val="00AE6F73"/>
    <w:rsid w:val="00B740CE"/>
    <w:rsid w:val="00B76304"/>
    <w:rsid w:val="00BC002F"/>
    <w:rsid w:val="00C2746A"/>
    <w:rsid w:val="00D23CDF"/>
    <w:rsid w:val="00D81677"/>
    <w:rsid w:val="00DD0140"/>
    <w:rsid w:val="00DE4022"/>
    <w:rsid w:val="00E20251"/>
    <w:rsid w:val="00E80641"/>
    <w:rsid w:val="00EB07C6"/>
    <w:rsid w:val="00EC2978"/>
    <w:rsid w:val="00F042FC"/>
    <w:rsid w:val="00F678C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537EE-BA2B-4D7F-94C1-9B4ACBFA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41"/>
    <w:pPr>
      <w:tabs>
        <w:tab w:val="center" w:pos="4320"/>
        <w:tab w:val="right" w:pos="8640"/>
      </w:tabs>
    </w:pPr>
  </w:style>
  <w:style w:type="character" w:customStyle="1" w:styleId="HeaderChar">
    <w:name w:val="Header Char"/>
    <w:basedOn w:val="DefaultParagraphFont"/>
    <w:link w:val="Header"/>
    <w:uiPriority w:val="99"/>
    <w:rsid w:val="00E80641"/>
  </w:style>
  <w:style w:type="paragraph" w:styleId="Footer">
    <w:name w:val="footer"/>
    <w:basedOn w:val="Normal"/>
    <w:link w:val="FooterChar"/>
    <w:uiPriority w:val="99"/>
    <w:unhideWhenUsed/>
    <w:rsid w:val="00E80641"/>
    <w:pPr>
      <w:tabs>
        <w:tab w:val="center" w:pos="4320"/>
        <w:tab w:val="right" w:pos="8640"/>
      </w:tabs>
    </w:pPr>
  </w:style>
  <w:style w:type="character" w:customStyle="1" w:styleId="FooterChar">
    <w:name w:val="Footer Char"/>
    <w:basedOn w:val="DefaultParagraphFont"/>
    <w:link w:val="Footer"/>
    <w:uiPriority w:val="99"/>
    <w:rsid w:val="00E80641"/>
  </w:style>
  <w:style w:type="paragraph" w:styleId="ListParagraph">
    <w:name w:val="List Paragraph"/>
    <w:basedOn w:val="Normal"/>
    <w:uiPriority w:val="34"/>
    <w:qFormat/>
    <w:rsid w:val="00E20251"/>
    <w:pPr>
      <w:ind w:left="720"/>
      <w:contextualSpacing/>
    </w:pPr>
  </w:style>
  <w:style w:type="character" w:customStyle="1" w:styleId="shorttext">
    <w:name w:val="short_text"/>
    <w:basedOn w:val="DefaultParagraphFont"/>
    <w:rsid w:val="003D1563"/>
  </w:style>
  <w:style w:type="paragraph" w:styleId="BalloonText">
    <w:name w:val="Balloon Text"/>
    <w:basedOn w:val="Normal"/>
    <w:link w:val="BalloonTextChar"/>
    <w:uiPriority w:val="99"/>
    <w:semiHidden/>
    <w:unhideWhenUsed/>
    <w:rsid w:val="00BC002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C002F"/>
    <w:rPr>
      <w:rFonts w:asciiTheme="majorHAnsi" w:eastAsiaTheme="majorEastAsia" w:hAnsiTheme="majorHAnsi" w:cstheme="majorBidi"/>
      <w:sz w:val="18"/>
      <w:szCs w:val="18"/>
    </w:rPr>
  </w:style>
  <w:style w:type="paragraph" w:customStyle="1" w:styleId="Default">
    <w:name w:val="Default"/>
    <w:rsid w:val="00C2746A"/>
    <w:pPr>
      <w:autoSpaceDE w:val="0"/>
      <w:autoSpaceDN w:val="0"/>
      <w:adjustRightInd w:val="0"/>
    </w:pPr>
    <w:rPr>
      <w:rFonts w:ascii="SimSun" w:eastAsia="SimSun" w:cs="SimSu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40350">
      <w:bodyDiv w:val="1"/>
      <w:marLeft w:val="0"/>
      <w:marRight w:val="0"/>
      <w:marTop w:val="0"/>
      <w:marBottom w:val="0"/>
      <w:divBdr>
        <w:top w:val="none" w:sz="0" w:space="0" w:color="auto"/>
        <w:left w:val="none" w:sz="0" w:space="0" w:color="auto"/>
        <w:bottom w:val="none" w:sz="0" w:space="0" w:color="auto"/>
        <w:right w:val="none" w:sz="0" w:space="0" w:color="auto"/>
      </w:divBdr>
      <w:divsChild>
        <w:div w:id="1981575354">
          <w:marLeft w:val="0"/>
          <w:marRight w:val="0"/>
          <w:marTop w:val="0"/>
          <w:marBottom w:val="0"/>
          <w:divBdr>
            <w:top w:val="none" w:sz="0" w:space="0" w:color="auto"/>
            <w:left w:val="none" w:sz="0" w:space="0" w:color="auto"/>
            <w:bottom w:val="none" w:sz="0" w:space="0" w:color="auto"/>
            <w:right w:val="none" w:sz="0" w:space="0" w:color="auto"/>
          </w:divBdr>
          <w:divsChild>
            <w:div w:id="1213270353">
              <w:marLeft w:val="0"/>
              <w:marRight w:val="0"/>
              <w:marTop w:val="0"/>
              <w:marBottom w:val="0"/>
              <w:divBdr>
                <w:top w:val="none" w:sz="0" w:space="0" w:color="auto"/>
                <w:left w:val="none" w:sz="0" w:space="0" w:color="auto"/>
                <w:bottom w:val="none" w:sz="0" w:space="0" w:color="auto"/>
                <w:right w:val="none" w:sz="0" w:space="0" w:color="auto"/>
              </w:divBdr>
              <w:divsChild>
                <w:div w:id="546988684">
                  <w:marLeft w:val="0"/>
                  <w:marRight w:val="0"/>
                  <w:marTop w:val="0"/>
                  <w:marBottom w:val="0"/>
                  <w:divBdr>
                    <w:top w:val="none" w:sz="0" w:space="0" w:color="auto"/>
                    <w:left w:val="none" w:sz="0" w:space="0" w:color="auto"/>
                    <w:bottom w:val="none" w:sz="0" w:space="0" w:color="auto"/>
                    <w:right w:val="none" w:sz="0" w:space="0" w:color="auto"/>
                  </w:divBdr>
                  <w:divsChild>
                    <w:div w:id="821972718">
                      <w:marLeft w:val="0"/>
                      <w:marRight w:val="0"/>
                      <w:marTop w:val="0"/>
                      <w:marBottom w:val="0"/>
                      <w:divBdr>
                        <w:top w:val="none" w:sz="0" w:space="0" w:color="auto"/>
                        <w:left w:val="none" w:sz="0" w:space="0" w:color="auto"/>
                        <w:bottom w:val="none" w:sz="0" w:space="0" w:color="auto"/>
                        <w:right w:val="none" w:sz="0" w:space="0" w:color="auto"/>
                      </w:divBdr>
                      <w:divsChild>
                        <w:div w:id="685906847">
                          <w:marLeft w:val="0"/>
                          <w:marRight w:val="0"/>
                          <w:marTop w:val="0"/>
                          <w:marBottom w:val="0"/>
                          <w:divBdr>
                            <w:top w:val="none" w:sz="0" w:space="0" w:color="auto"/>
                            <w:left w:val="none" w:sz="0" w:space="0" w:color="auto"/>
                            <w:bottom w:val="none" w:sz="0" w:space="0" w:color="auto"/>
                            <w:right w:val="none" w:sz="0" w:space="0" w:color="auto"/>
                          </w:divBdr>
                          <w:divsChild>
                            <w:div w:id="1625624291">
                              <w:marLeft w:val="0"/>
                              <w:marRight w:val="0"/>
                              <w:marTop w:val="0"/>
                              <w:marBottom w:val="0"/>
                              <w:divBdr>
                                <w:top w:val="none" w:sz="0" w:space="0" w:color="auto"/>
                                <w:left w:val="none" w:sz="0" w:space="0" w:color="auto"/>
                                <w:bottom w:val="none" w:sz="0" w:space="0" w:color="auto"/>
                                <w:right w:val="none" w:sz="0" w:space="0" w:color="auto"/>
                              </w:divBdr>
                              <w:divsChild>
                                <w:div w:id="1994524104">
                                  <w:marLeft w:val="0"/>
                                  <w:marRight w:val="0"/>
                                  <w:marTop w:val="0"/>
                                  <w:marBottom w:val="0"/>
                                  <w:divBdr>
                                    <w:top w:val="none" w:sz="0" w:space="0" w:color="auto"/>
                                    <w:left w:val="none" w:sz="0" w:space="0" w:color="auto"/>
                                    <w:bottom w:val="none" w:sz="0" w:space="0" w:color="auto"/>
                                    <w:right w:val="none" w:sz="0" w:space="0" w:color="auto"/>
                                  </w:divBdr>
                                  <w:divsChild>
                                    <w:div w:id="486895563">
                                      <w:marLeft w:val="0"/>
                                      <w:marRight w:val="60"/>
                                      <w:marTop w:val="0"/>
                                      <w:marBottom w:val="0"/>
                                      <w:divBdr>
                                        <w:top w:val="none" w:sz="0" w:space="0" w:color="auto"/>
                                        <w:left w:val="none" w:sz="0" w:space="0" w:color="auto"/>
                                        <w:bottom w:val="none" w:sz="0" w:space="0" w:color="auto"/>
                                        <w:right w:val="none" w:sz="0" w:space="0" w:color="auto"/>
                                      </w:divBdr>
                                      <w:divsChild>
                                        <w:div w:id="902830721">
                                          <w:marLeft w:val="0"/>
                                          <w:marRight w:val="0"/>
                                          <w:marTop w:val="0"/>
                                          <w:marBottom w:val="0"/>
                                          <w:divBdr>
                                            <w:top w:val="none" w:sz="0" w:space="0" w:color="auto"/>
                                            <w:left w:val="none" w:sz="0" w:space="0" w:color="auto"/>
                                            <w:bottom w:val="none" w:sz="0" w:space="0" w:color="auto"/>
                                            <w:right w:val="none" w:sz="0" w:space="0" w:color="auto"/>
                                          </w:divBdr>
                                        </w:div>
                                        <w:div w:id="1328482244">
                                          <w:marLeft w:val="0"/>
                                          <w:marRight w:val="0"/>
                                          <w:marTop w:val="0"/>
                                          <w:marBottom w:val="0"/>
                                          <w:divBdr>
                                            <w:top w:val="single" w:sz="6" w:space="12" w:color="999999"/>
                                            <w:left w:val="single" w:sz="6" w:space="12" w:color="999999"/>
                                            <w:bottom w:val="single" w:sz="6" w:space="12" w:color="999999"/>
                                            <w:right w:val="single" w:sz="6" w:space="12" w:color="999999"/>
                                          </w:divBdr>
                                          <w:divsChild>
                                            <w:div w:id="1396126779">
                                              <w:marLeft w:val="0"/>
                                              <w:marRight w:val="0"/>
                                              <w:marTop w:val="0"/>
                                              <w:marBottom w:val="0"/>
                                              <w:divBdr>
                                                <w:top w:val="none" w:sz="0" w:space="0" w:color="auto"/>
                                                <w:left w:val="none" w:sz="0" w:space="0" w:color="auto"/>
                                                <w:bottom w:val="none" w:sz="0" w:space="0" w:color="auto"/>
                                                <w:right w:val="none" w:sz="0" w:space="0" w:color="auto"/>
                                              </w:divBdr>
                                            </w:div>
                                          </w:divsChild>
                                        </w:div>
                                        <w:div w:id="20906113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12009640">
                                  <w:marLeft w:val="0"/>
                                  <w:marRight w:val="0"/>
                                  <w:marTop w:val="0"/>
                                  <w:marBottom w:val="0"/>
                                  <w:divBdr>
                                    <w:top w:val="none" w:sz="0" w:space="0" w:color="auto"/>
                                    <w:left w:val="none" w:sz="0" w:space="0" w:color="auto"/>
                                    <w:bottom w:val="none" w:sz="0" w:space="0" w:color="auto"/>
                                    <w:right w:val="none" w:sz="0" w:space="0" w:color="auto"/>
                                  </w:divBdr>
                                  <w:divsChild>
                                    <w:div w:id="367726330">
                                      <w:marLeft w:val="60"/>
                                      <w:marRight w:val="0"/>
                                      <w:marTop w:val="0"/>
                                      <w:marBottom w:val="0"/>
                                      <w:divBdr>
                                        <w:top w:val="none" w:sz="0" w:space="0" w:color="auto"/>
                                        <w:left w:val="none" w:sz="0" w:space="0" w:color="auto"/>
                                        <w:bottom w:val="none" w:sz="0" w:space="0" w:color="auto"/>
                                        <w:right w:val="none" w:sz="0" w:space="0" w:color="auto"/>
                                      </w:divBdr>
                                      <w:divsChild>
                                        <w:div w:id="127676109">
                                          <w:marLeft w:val="0"/>
                                          <w:marRight w:val="0"/>
                                          <w:marTop w:val="0"/>
                                          <w:marBottom w:val="0"/>
                                          <w:divBdr>
                                            <w:top w:val="none" w:sz="0" w:space="0" w:color="auto"/>
                                            <w:left w:val="none" w:sz="0" w:space="0" w:color="auto"/>
                                            <w:bottom w:val="none" w:sz="0" w:space="0" w:color="auto"/>
                                            <w:right w:val="none" w:sz="0" w:space="0" w:color="auto"/>
                                          </w:divBdr>
                                          <w:divsChild>
                                            <w:div w:id="990406300">
                                              <w:marLeft w:val="0"/>
                                              <w:marRight w:val="0"/>
                                              <w:marTop w:val="0"/>
                                              <w:marBottom w:val="120"/>
                                              <w:divBdr>
                                                <w:top w:val="single" w:sz="6" w:space="0" w:color="F5F5F5"/>
                                                <w:left w:val="single" w:sz="6" w:space="0" w:color="F5F5F5"/>
                                                <w:bottom w:val="single" w:sz="6" w:space="0" w:color="F5F5F5"/>
                                                <w:right w:val="single" w:sz="6" w:space="0" w:color="F5F5F5"/>
                                              </w:divBdr>
                                              <w:divsChild>
                                                <w:div w:id="65419973">
                                                  <w:marLeft w:val="0"/>
                                                  <w:marRight w:val="0"/>
                                                  <w:marTop w:val="0"/>
                                                  <w:marBottom w:val="0"/>
                                                  <w:divBdr>
                                                    <w:top w:val="none" w:sz="0" w:space="0" w:color="auto"/>
                                                    <w:left w:val="none" w:sz="0" w:space="0" w:color="auto"/>
                                                    <w:bottom w:val="none" w:sz="0" w:space="0" w:color="auto"/>
                                                    <w:right w:val="none" w:sz="0" w:space="0" w:color="auto"/>
                                                  </w:divBdr>
                                                  <w:divsChild>
                                                    <w:div w:id="12096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1966">
      <w:bodyDiv w:val="1"/>
      <w:marLeft w:val="0"/>
      <w:marRight w:val="0"/>
      <w:marTop w:val="0"/>
      <w:marBottom w:val="0"/>
      <w:divBdr>
        <w:top w:val="none" w:sz="0" w:space="0" w:color="auto"/>
        <w:left w:val="none" w:sz="0" w:space="0" w:color="auto"/>
        <w:bottom w:val="none" w:sz="0" w:space="0" w:color="auto"/>
        <w:right w:val="none" w:sz="0" w:space="0" w:color="auto"/>
      </w:divBdr>
      <w:divsChild>
        <w:div w:id="107503951">
          <w:marLeft w:val="0"/>
          <w:marRight w:val="0"/>
          <w:marTop w:val="0"/>
          <w:marBottom w:val="0"/>
          <w:divBdr>
            <w:top w:val="none" w:sz="0" w:space="0" w:color="auto"/>
            <w:left w:val="none" w:sz="0" w:space="0" w:color="auto"/>
            <w:bottom w:val="none" w:sz="0" w:space="0" w:color="auto"/>
            <w:right w:val="none" w:sz="0" w:space="0" w:color="auto"/>
          </w:divBdr>
          <w:divsChild>
            <w:div w:id="1247416868">
              <w:marLeft w:val="0"/>
              <w:marRight w:val="0"/>
              <w:marTop w:val="0"/>
              <w:marBottom w:val="0"/>
              <w:divBdr>
                <w:top w:val="none" w:sz="0" w:space="0" w:color="auto"/>
                <w:left w:val="none" w:sz="0" w:space="0" w:color="auto"/>
                <w:bottom w:val="none" w:sz="0" w:space="0" w:color="auto"/>
                <w:right w:val="none" w:sz="0" w:space="0" w:color="auto"/>
              </w:divBdr>
              <w:divsChild>
                <w:div w:id="501625054">
                  <w:marLeft w:val="0"/>
                  <w:marRight w:val="0"/>
                  <w:marTop w:val="0"/>
                  <w:marBottom w:val="0"/>
                  <w:divBdr>
                    <w:top w:val="none" w:sz="0" w:space="0" w:color="auto"/>
                    <w:left w:val="none" w:sz="0" w:space="0" w:color="auto"/>
                    <w:bottom w:val="none" w:sz="0" w:space="0" w:color="auto"/>
                    <w:right w:val="none" w:sz="0" w:space="0" w:color="auto"/>
                  </w:divBdr>
                  <w:divsChild>
                    <w:div w:id="1660496960">
                      <w:marLeft w:val="0"/>
                      <w:marRight w:val="0"/>
                      <w:marTop w:val="0"/>
                      <w:marBottom w:val="0"/>
                      <w:divBdr>
                        <w:top w:val="none" w:sz="0" w:space="0" w:color="auto"/>
                        <w:left w:val="none" w:sz="0" w:space="0" w:color="auto"/>
                        <w:bottom w:val="none" w:sz="0" w:space="0" w:color="auto"/>
                        <w:right w:val="none" w:sz="0" w:space="0" w:color="auto"/>
                      </w:divBdr>
                      <w:divsChild>
                        <w:div w:id="1932544705">
                          <w:marLeft w:val="0"/>
                          <w:marRight w:val="0"/>
                          <w:marTop w:val="0"/>
                          <w:marBottom w:val="0"/>
                          <w:divBdr>
                            <w:top w:val="none" w:sz="0" w:space="0" w:color="auto"/>
                            <w:left w:val="none" w:sz="0" w:space="0" w:color="auto"/>
                            <w:bottom w:val="none" w:sz="0" w:space="0" w:color="auto"/>
                            <w:right w:val="none" w:sz="0" w:space="0" w:color="auto"/>
                          </w:divBdr>
                          <w:divsChild>
                            <w:div w:id="1099790331">
                              <w:marLeft w:val="0"/>
                              <w:marRight w:val="0"/>
                              <w:marTop w:val="0"/>
                              <w:marBottom w:val="0"/>
                              <w:divBdr>
                                <w:top w:val="none" w:sz="0" w:space="0" w:color="auto"/>
                                <w:left w:val="none" w:sz="0" w:space="0" w:color="auto"/>
                                <w:bottom w:val="none" w:sz="0" w:space="0" w:color="auto"/>
                                <w:right w:val="none" w:sz="0" w:space="0" w:color="auto"/>
                              </w:divBdr>
                              <w:divsChild>
                                <w:div w:id="1047878717">
                                  <w:marLeft w:val="0"/>
                                  <w:marRight w:val="0"/>
                                  <w:marTop w:val="0"/>
                                  <w:marBottom w:val="0"/>
                                  <w:divBdr>
                                    <w:top w:val="none" w:sz="0" w:space="0" w:color="auto"/>
                                    <w:left w:val="none" w:sz="0" w:space="0" w:color="auto"/>
                                    <w:bottom w:val="none" w:sz="0" w:space="0" w:color="auto"/>
                                    <w:right w:val="none" w:sz="0" w:space="0" w:color="auto"/>
                                  </w:divBdr>
                                  <w:divsChild>
                                    <w:div w:id="1341619694">
                                      <w:marLeft w:val="0"/>
                                      <w:marRight w:val="60"/>
                                      <w:marTop w:val="0"/>
                                      <w:marBottom w:val="0"/>
                                      <w:divBdr>
                                        <w:top w:val="none" w:sz="0" w:space="0" w:color="auto"/>
                                        <w:left w:val="none" w:sz="0" w:space="0" w:color="auto"/>
                                        <w:bottom w:val="none" w:sz="0" w:space="0" w:color="auto"/>
                                        <w:right w:val="none" w:sz="0" w:space="0" w:color="auto"/>
                                      </w:divBdr>
                                      <w:divsChild>
                                        <w:div w:id="810943253">
                                          <w:marLeft w:val="0"/>
                                          <w:marRight w:val="0"/>
                                          <w:marTop w:val="0"/>
                                          <w:marBottom w:val="0"/>
                                          <w:divBdr>
                                            <w:top w:val="none" w:sz="0" w:space="0" w:color="auto"/>
                                            <w:left w:val="none" w:sz="0" w:space="0" w:color="auto"/>
                                            <w:bottom w:val="none" w:sz="0" w:space="0" w:color="auto"/>
                                            <w:right w:val="none" w:sz="0" w:space="0" w:color="auto"/>
                                          </w:divBdr>
                                        </w:div>
                                        <w:div w:id="1130049680">
                                          <w:marLeft w:val="0"/>
                                          <w:marRight w:val="0"/>
                                          <w:marTop w:val="0"/>
                                          <w:marBottom w:val="0"/>
                                          <w:divBdr>
                                            <w:top w:val="single" w:sz="6" w:space="12" w:color="999999"/>
                                            <w:left w:val="single" w:sz="6" w:space="12" w:color="999999"/>
                                            <w:bottom w:val="single" w:sz="6" w:space="12" w:color="999999"/>
                                            <w:right w:val="single" w:sz="6" w:space="12" w:color="999999"/>
                                          </w:divBdr>
                                          <w:divsChild>
                                            <w:div w:id="1456562395">
                                              <w:marLeft w:val="0"/>
                                              <w:marRight w:val="0"/>
                                              <w:marTop w:val="0"/>
                                              <w:marBottom w:val="0"/>
                                              <w:divBdr>
                                                <w:top w:val="none" w:sz="0" w:space="0" w:color="auto"/>
                                                <w:left w:val="none" w:sz="0" w:space="0" w:color="auto"/>
                                                <w:bottom w:val="none" w:sz="0" w:space="0" w:color="auto"/>
                                                <w:right w:val="none" w:sz="0" w:space="0" w:color="auto"/>
                                              </w:divBdr>
                                            </w:div>
                                          </w:divsChild>
                                        </w:div>
                                        <w:div w:id="3721212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4348990">
                                  <w:marLeft w:val="0"/>
                                  <w:marRight w:val="0"/>
                                  <w:marTop w:val="0"/>
                                  <w:marBottom w:val="0"/>
                                  <w:divBdr>
                                    <w:top w:val="none" w:sz="0" w:space="0" w:color="auto"/>
                                    <w:left w:val="none" w:sz="0" w:space="0" w:color="auto"/>
                                    <w:bottom w:val="none" w:sz="0" w:space="0" w:color="auto"/>
                                    <w:right w:val="none" w:sz="0" w:space="0" w:color="auto"/>
                                  </w:divBdr>
                                  <w:divsChild>
                                    <w:div w:id="1673678951">
                                      <w:marLeft w:val="60"/>
                                      <w:marRight w:val="0"/>
                                      <w:marTop w:val="0"/>
                                      <w:marBottom w:val="0"/>
                                      <w:divBdr>
                                        <w:top w:val="none" w:sz="0" w:space="0" w:color="auto"/>
                                        <w:left w:val="none" w:sz="0" w:space="0" w:color="auto"/>
                                        <w:bottom w:val="none" w:sz="0" w:space="0" w:color="auto"/>
                                        <w:right w:val="none" w:sz="0" w:space="0" w:color="auto"/>
                                      </w:divBdr>
                                      <w:divsChild>
                                        <w:div w:id="935945969">
                                          <w:marLeft w:val="0"/>
                                          <w:marRight w:val="0"/>
                                          <w:marTop w:val="0"/>
                                          <w:marBottom w:val="0"/>
                                          <w:divBdr>
                                            <w:top w:val="none" w:sz="0" w:space="0" w:color="auto"/>
                                            <w:left w:val="none" w:sz="0" w:space="0" w:color="auto"/>
                                            <w:bottom w:val="none" w:sz="0" w:space="0" w:color="auto"/>
                                            <w:right w:val="none" w:sz="0" w:space="0" w:color="auto"/>
                                          </w:divBdr>
                                          <w:divsChild>
                                            <w:div w:id="1627662297">
                                              <w:marLeft w:val="0"/>
                                              <w:marRight w:val="0"/>
                                              <w:marTop w:val="0"/>
                                              <w:marBottom w:val="120"/>
                                              <w:divBdr>
                                                <w:top w:val="single" w:sz="6" w:space="0" w:color="F5F5F5"/>
                                                <w:left w:val="single" w:sz="6" w:space="0" w:color="F5F5F5"/>
                                                <w:bottom w:val="single" w:sz="6" w:space="0" w:color="F5F5F5"/>
                                                <w:right w:val="single" w:sz="6" w:space="0" w:color="F5F5F5"/>
                                              </w:divBdr>
                                              <w:divsChild>
                                                <w:div w:id="1919359133">
                                                  <w:marLeft w:val="0"/>
                                                  <w:marRight w:val="0"/>
                                                  <w:marTop w:val="0"/>
                                                  <w:marBottom w:val="0"/>
                                                  <w:divBdr>
                                                    <w:top w:val="none" w:sz="0" w:space="0" w:color="auto"/>
                                                    <w:left w:val="none" w:sz="0" w:space="0" w:color="auto"/>
                                                    <w:bottom w:val="none" w:sz="0" w:space="0" w:color="auto"/>
                                                    <w:right w:val="none" w:sz="0" w:space="0" w:color="auto"/>
                                                  </w:divBdr>
                                                  <w:divsChild>
                                                    <w:div w:id="10917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Gloria Leung - Win Wind</cp:lastModifiedBy>
  <cp:revision>5</cp:revision>
  <cp:lastPrinted>2015-08-13T07:53:00Z</cp:lastPrinted>
  <dcterms:created xsi:type="dcterms:W3CDTF">2015-08-13T07:53:00Z</dcterms:created>
  <dcterms:modified xsi:type="dcterms:W3CDTF">2015-12-09T07:08:00Z</dcterms:modified>
</cp:coreProperties>
</file>